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02C4A" w14:textId="77777777" w:rsidR="00C2390C" w:rsidRPr="00C2390C" w:rsidRDefault="00C2390C" w:rsidP="007D57D5">
      <w:pPr>
        <w:pStyle w:val="BasicParagraph"/>
        <w:spacing w:after="47"/>
        <w:jc w:val="center"/>
        <w:rPr>
          <w:rFonts w:ascii="Gotham-Medium" w:hAnsi="Gotham-Medium" w:cs="Gotham-Medium"/>
          <w:color w:val="176EA9"/>
          <w:sz w:val="28"/>
          <w:szCs w:val="36"/>
        </w:rPr>
      </w:pPr>
      <w:r w:rsidRPr="00C2390C">
        <w:rPr>
          <w:rFonts w:ascii="Gotham-Medium" w:hAnsi="Gotham-Medium" w:cs="Gotham-Medium"/>
          <w:color w:val="176EA9"/>
          <w:sz w:val="28"/>
          <w:szCs w:val="36"/>
        </w:rPr>
        <w:t>Developing &amp; Supporting “Executive Function”</w:t>
      </w:r>
    </w:p>
    <w:p w14:paraId="360FF531" w14:textId="77777777" w:rsidR="00C2390C" w:rsidRDefault="00C2390C" w:rsidP="00C2390C">
      <w:pPr>
        <w:pStyle w:val="BasicParagraph"/>
        <w:spacing w:after="47"/>
        <w:rPr>
          <w:rFonts w:ascii="Gotham-Bold" w:hAnsi="Gotham-Bold" w:cs="Gotham-Bold"/>
          <w:b/>
          <w:bCs/>
          <w:sz w:val="18"/>
          <w:szCs w:val="18"/>
        </w:rPr>
      </w:pPr>
    </w:p>
    <w:p w14:paraId="1D3E1844" w14:textId="77777777" w:rsidR="00C2390C" w:rsidRDefault="00C2390C" w:rsidP="007D57D5">
      <w:pPr>
        <w:pStyle w:val="BasicParagraph"/>
        <w:spacing w:after="47"/>
        <w:jc w:val="center"/>
        <w:rPr>
          <w:rFonts w:ascii="Gotham-Bold" w:hAnsi="Gotham-Bold" w:cs="Gotham-Bold"/>
          <w:b/>
          <w:bCs/>
          <w:sz w:val="18"/>
          <w:szCs w:val="18"/>
        </w:rPr>
      </w:pPr>
      <w:r>
        <w:rPr>
          <w:rFonts w:ascii="Gotham-Bold" w:hAnsi="Gotham-Bold" w:cs="Gotham-Bold"/>
          <w:b/>
          <w:bCs/>
          <w:sz w:val="18"/>
          <w:szCs w:val="18"/>
        </w:rPr>
        <w:t>By Adele Diamond, Tier 1 Canada Research Chair Professor of Developmental Cognitive Neuroscience at the University of British Colombia, Canada</w:t>
      </w:r>
    </w:p>
    <w:p w14:paraId="7235BCC5" w14:textId="77777777" w:rsidR="00C2390C" w:rsidRDefault="00C2390C" w:rsidP="00C2390C">
      <w:pPr>
        <w:pStyle w:val="BasicParagraph"/>
        <w:suppressAutoHyphens/>
        <w:spacing w:after="90"/>
        <w:rPr>
          <w:rFonts w:ascii="Gotham-Book" w:hAnsi="Gotham-Book" w:cs="Gotham-Book"/>
          <w:sz w:val="16"/>
          <w:szCs w:val="16"/>
        </w:rPr>
      </w:pPr>
    </w:p>
    <w:p w14:paraId="1297CA21" w14:textId="77777777" w:rsidR="008C2100" w:rsidRPr="008C2100" w:rsidRDefault="00C2390C" w:rsidP="008C2100">
      <w:pPr>
        <w:pStyle w:val="BasicParagraph"/>
        <w:suppressAutoHyphens/>
        <w:spacing w:after="90"/>
        <w:rPr>
          <w:rFonts w:asciiTheme="majorHAnsi" w:hAnsiTheme="majorHAnsi" w:cs="Gotham-Book"/>
          <w:color w:val="000000" w:themeColor="text1"/>
          <w:sz w:val="23"/>
          <w:szCs w:val="23"/>
          <w:lang w:val="en-CA"/>
        </w:rPr>
      </w:pPr>
      <w:r w:rsidRPr="005F4E69">
        <w:rPr>
          <w:rFonts w:asciiTheme="majorHAnsi" w:hAnsiTheme="majorHAnsi" w:cs="Gotham-Book"/>
          <w:color w:val="000000" w:themeColor="text1"/>
          <w:sz w:val="23"/>
          <w:szCs w:val="23"/>
        </w:rPr>
        <w:t>The abilities to exercise self-control and stay focused, hold information in mind and work with that information</w:t>
      </w:r>
      <w:r w:rsidR="000626B4">
        <w:rPr>
          <w:rFonts w:asciiTheme="majorHAnsi" w:hAnsiTheme="majorHAnsi" w:cs="Gotham-Book"/>
          <w:color w:val="000000" w:themeColor="text1"/>
          <w:sz w:val="23"/>
          <w:szCs w:val="23"/>
        </w:rPr>
        <w:t xml:space="preserve"> (working memory)</w:t>
      </w:r>
      <w:r w:rsidRPr="005F4E69">
        <w:rPr>
          <w:rFonts w:asciiTheme="majorHAnsi" w:hAnsiTheme="majorHAnsi" w:cs="Gotham-Book"/>
          <w:color w:val="000000" w:themeColor="text1"/>
          <w:sz w:val="23"/>
          <w:szCs w:val="23"/>
        </w:rPr>
        <w:t xml:space="preserve">, problem-solve, and flexibly adjust to change or unexpected problems are important for all aspects of life – </w:t>
      </w:r>
      <w:r w:rsidR="008C2100" w:rsidRPr="008C2100">
        <w:rPr>
          <w:rFonts w:asciiTheme="majorHAnsi" w:hAnsiTheme="majorHAnsi" w:cs="Gotham-Book"/>
          <w:color w:val="000000" w:themeColor="text1"/>
          <w:sz w:val="23"/>
          <w:szCs w:val="23"/>
          <w:lang w:val="en-CA"/>
        </w:rPr>
        <w:t xml:space="preserve">social, intellectual and emotional. For instance, self-control is critical for thinking before you act, complying with societal norms and work requirements and not doing things you’d regret. Working memory is critical for reasoning and creatively seeing connections among elements. Cognitive flexibility is critical if one is to flexibly adjust to what life throws your way or creatively ‘think outside the box’ (for example, </w:t>
      </w:r>
      <w:r w:rsidR="008C2100" w:rsidRPr="008C2100">
        <w:rPr>
          <w:rFonts w:asciiTheme="majorHAnsi" w:hAnsiTheme="majorHAnsi" w:cs="Gotham-Book"/>
          <w:color w:val="000000" w:themeColor="text1"/>
          <w:sz w:val="23"/>
          <w:szCs w:val="23"/>
        </w:rPr>
        <w:t xml:space="preserve">if there’s a </w:t>
      </w:r>
      <w:proofErr w:type="gramStart"/>
      <w:r w:rsidR="008C2100" w:rsidRPr="008C2100">
        <w:rPr>
          <w:rFonts w:asciiTheme="majorHAnsi" w:hAnsiTheme="majorHAnsi" w:cs="Gotham-Book"/>
          <w:color w:val="000000" w:themeColor="text1"/>
          <w:sz w:val="23"/>
          <w:szCs w:val="23"/>
        </w:rPr>
        <w:t>problem</w:t>
      </w:r>
      <w:proofErr w:type="gramEnd"/>
      <w:r w:rsidR="008C2100" w:rsidRPr="008C2100">
        <w:rPr>
          <w:rFonts w:asciiTheme="majorHAnsi" w:hAnsiTheme="majorHAnsi" w:cs="Gotham-Book"/>
          <w:color w:val="000000" w:themeColor="text1"/>
          <w:sz w:val="23"/>
          <w:szCs w:val="23"/>
        </w:rPr>
        <w:t xml:space="preserve"> we haven’t been able to solve, can you think of a novel way of attacking or conceiving of it?).</w:t>
      </w:r>
      <w:r w:rsidR="008C2100" w:rsidRPr="008C2100">
        <w:rPr>
          <w:rFonts w:asciiTheme="majorHAnsi" w:hAnsiTheme="majorHAnsi" w:cs="Gotham-Book"/>
          <w:color w:val="000000" w:themeColor="text1"/>
          <w:sz w:val="23"/>
          <w:szCs w:val="23"/>
          <w:lang w:val="en-CA"/>
        </w:rPr>
        <w:t xml:space="preserve"> Collectively, these skills make up what are called “executive functions” (EFs).</w:t>
      </w:r>
      <w:r w:rsidR="008C2100" w:rsidRPr="008C2100">
        <w:rPr>
          <w:rFonts w:asciiTheme="majorHAnsi" w:hAnsiTheme="majorHAnsi" w:cs="Gotham-Book"/>
          <w:color w:val="000000" w:themeColor="text1"/>
          <w:sz w:val="23"/>
          <w:szCs w:val="23"/>
          <w:vertAlign w:val="superscript"/>
          <w:lang w:val="en-CA"/>
        </w:rPr>
        <w:t>1</w:t>
      </w:r>
      <w:r w:rsidR="008C2100" w:rsidRPr="008C2100">
        <w:rPr>
          <w:rFonts w:asciiTheme="majorHAnsi" w:hAnsiTheme="majorHAnsi" w:cs="Gotham-Book"/>
          <w:color w:val="000000" w:themeColor="text1"/>
          <w:sz w:val="23"/>
          <w:szCs w:val="23"/>
          <w:lang w:val="en-CA"/>
        </w:rPr>
        <w:t xml:space="preserve">  </w:t>
      </w:r>
    </w:p>
    <w:p w14:paraId="64321181" w14:textId="77777777" w:rsidR="00C2390C" w:rsidRPr="005F4E69" w:rsidRDefault="00C2390C" w:rsidP="00E8558B">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To improve EFs you need to practice, and the more you practice them and challenge yourself to improve, the better you get.</w:t>
      </w:r>
      <w:r w:rsidR="009D489D">
        <w:rPr>
          <w:rStyle w:val="FootnoteReference"/>
          <w:rFonts w:asciiTheme="majorHAnsi" w:hAnsiTheme="majorHAnsi" w:cs="Gotham-Book"/>
          <w:color w:val="000000" w:themeColor="text1"/>
          <w:sz w:val="23"/>
          <w:szCs w:val="23"/>
        </w:rPr>
        <w:footnoteReference w:id="1"/>
      </w:r>
      <w:r w:rsidRPr="005F4E69">
        <w:rPr>
          <w:rFonts w:asciiTheme="majorHAnsi" w:hAnsiTheme="majorHAnsi" w:cs="Gotham-Book"/>
          <w:color w:val="000000" w:themeColor="text1"/>
          <w:sz w:val="23"/>
          <w:szCs w:val="23"/>
        </w:rPr>
        <w:t xml:space="preserve">  While directly training EFs </w:t>
      </w:r>
      <w:r w:rsidR="00607A47" w:rsidRPr="005F4E69">
        <w:rPr>
          <w:rFonts w:asciiTheme="majorHAnsi" w:hAnsiTheme="majorHAnsi" w:cs="Gotham-Book"/>
          <w:color w:val="000000" w:themeColor="text1"/>
          <w:sz w:val="23"/>
          <w:szCs w:val="23"/>
        </w:rPr>
        <w:t xml:space="preserve">and pushing yourself to improve </w:t>
      </w:r>
      <w:r w:rsidRPr="005F4E69">
        <w:rPr>
          <w:rFonts w:asciiTheme="majorHAnsi" w:hAnsiTheme="majorHAnsi" w:cs="Gotham-Book"/>
          <w:color w:val="000000" w:themeColor="text1"/>
          <w:sz w:val="23"/>
          <w:szCs w:val="23"/>
        </w:rPr>
        <w:t xml:space="preserve">is needed for strengthening EFs, that alone is probably not enough. It’s likely that indirectly supporting EFs by lessening things that impair them (like stress or loneliness) and enhancing things that support them (like joy or physical vitality) is also critical.  </w:t>
      </w:r>
    </w:p>
    <w:p w14:paraId="6FD66092" w14:textId="77777777" w:rsidR="00C2390C" w:rsidRPr="00A060EF" w:rsidRDefault="00C2390C" w:rsidP="00E8558B">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What activities directly train and challenge EFs and indirectly support them by also addressing our social, emotional, and physical needs?  Traditional activities!  From the dawn of civilization, across all cultures, storytelling, dance, art, music and play have been part of the human condition. People in all cultures made music, s</w:t>
      </w:r>
      <w:r w:rsidR="00BB50C4" w:rsidRPr="005F4E69">
        <w:rPr>
          <w:rFonts w:asciiTheme="majorHAnsi" w:hAnsiTheme="majorHAnsi" w:cs="Gotham-Book"/>
          <w:color w:val="000000" w:themeColor="text1"/>
          <w:sz w:val="23"/>
          <w:szCs w:val="23"/>
        </w:rPr>
        <w:t>a</w:t>
      </w:r>
      <w:r w:rsidRPr="005F4E69">
        <w:rPr>
          <w:rFonts w:asciiTheme="majorHAnsi" w:hAnsiTheme="majorHAnsi" w:cs="Gotham-Book"/>
          <w:color w:val="000000" w:themeColor="text1"/>
          <w:sz w:val="23"/>
          <w:szCs w:val="23"/>
        </w:rPr>
        <w:t xml:space="preserve">ng, danced, and played sports </w:t>
      </w:r>
      <w:r w:rsidRPr="00A060EF">
        <w:rPr>
          <w:rFonts w:asciiTheme="majorHAnsi" w:hAnsiTheme="majorHAnsi" w:cs="Gotham-Book"/>
          <w:color w:val="000000" w:themeColor="text1"/>
          <w:sz w:val="23"/>
          <w:szCs w:val="23"/>
        </w:rPr>
        <w:t xml:space="preserve">and games.  There are good reasons why those activities </w:t>
      </w:r>
      <w:r w:rsidR="00BB50C4" w:rsidRPr="00A060EF">
        <w:rPr>
          <w:rFonts w:asciiTheme="majorHAnsi" w:hAnsiTheme="majorHAnsi" w:cs="Gotham-Book"/>
          <w:color w:val="000000" w:themeColor="text1"/>
          <w:sz w:val="23"/>
          <w:szCs w:val="23"/>
        </w:rPr>
        <w:t>arose</w:t>
      </w:r>
      <w:r w:rsidRPr="00A060EF">
        <w:rPr>
          <w:rFonts w:asciiTheme="majorHAnsi" w:hAnsiTheme="majorHAnsi" w:cs="Gotham-Book"/>
          <w:color w:val="000000" w:themeColor="text1"/>
          <w:sz w:val="23"/>
          <w:szCs w:val="23"/>
        </w:rPr>
        <w:t xml:space="preserve"> everywhere and </w:t>
      </w:r>
      <w:r w:rsidR="00BB50C4" w:rsidRPr="00A060EF">
        <w:rPr>
          <w:rFonts w:asciiTheme="majorHAnsi" w:hAnsiTheme="majorHAnsi" w:cs="Gotham-Book"/>
          <w:color w:val="000000" w:themeColor="text1"/>
          <w:sz w:val="23"/>
          <w:szCs w:val="23"/>
        </w:rPr>
        <w:t xml:space="preserve">have </w:t>
      </w:r>
      <w:r w:rsidRPr="00A060EF">
        <w:rPr>
          <w:rFonts w:asciiTheme="majorHAnsi" w:hAnsiTheme="majorHAnsi" w:cs="Gotham-Book"/>
          <w:color w:val="000000" w:themeColor="text1"/>
          <w:sz w:val="23"/>
          <w:szCs w:val="23"/>
        </w:rPr>
        <w:t xml:space="preserve">lasted so long.  </w:t>
      </w:r>
    </w:p>
    <w:p w14:paraId="0E43B1A9" w14:textId="77777777" w:rsidR="00C2390C" w:rsidRPr="00A060EF" w:rsidRDefault="00A060EF" w:rsidP="00556C5E">
      <w:pPr>
        <w:pStyle w:val="BasicParagraph"/>
        <w:suppressAutoHyphens/>
        <w:spacing w:after="90"/>
        <w:rPr>
          <w:rFonts w:asciiTheme="majorHAnsi" w:hAnsiTheme="majorHAnsi" w:cs="Gotham-Book"/>
          <w:sz w:val="22"/>
          <w:szCs w:val="16"/>
        </w:rPr>
      </w:pPr>
      <w:r w:rsidRPr="00F4407C">
        <w:rPr>
          <w:rFonts w:asciiTheme="majorHAnsi" w:hAnsiTheme="majorHAnsi" w:cs="Gotham-Book"/>
          <w:sz w:val="23"/>
          <w:szCs w:val="23"/>
        </w:rPr>
        <w:t xml:space="preserve">I believe it will be shown that El Sistema-inspired programs provide powerful support for executive functions, although no evidence for this exists as yet.  </w:t>
      </w:r>
      <w:r w:rsidR="00C2390C" w:rsidRPr="00F4407C">
        <w:rPr>
          <w:rFonts w:asciiTheme="majorHAnsi" w:hAnsiTheme="majorHAnsi" w:cs="Gotham-Book"/>
          <w:color w:val="000000" w:themeColor="text1"/>
          <w:sz w:val="23"/>
          <w:szCs w:val="23"/>
        </w:rPr>
        <w:t>In</w:t>
      </w:r>
      <w:r w:rsidR="00BB50C4" w:rsidRPr="00F4407C">
        <w:rPr>
          <w:rFonts w:asciiTheme="majorHAnsi" w:hAnsiTheme="majorHAnsi" w:cs="Gotham-Book"/>
          <w:color w:val="000000" w:themeColor="text1"/>
          <w:sz w:val="23"/>
          <w:szCs w:val="23"/>
        </w:rPr>
        <w:t>deed</w:t>
      </w:r>
      <w:r w:rsidR="00C2390C" w:rsidRPr="00F4407C">
        <w:rPr>
          <w:rFonts w:asciiTheme="majorHAnsi" w:hAnsiTheme="majorHAnsi" w:cs="Gotham-Book"/>
          <w:color w:val="000000" w:themeColor="text1"/>
          <w:sz w:val="23"/>
          <w:szCs w:val="23"/>
        </w:rPr>
        <w:t>, there are characteristics of El Sistema that make it likely to be especially beneficial, compared with other arts</w:t>
      </w:r>
      <w:r w:rsidR="00DF511D" w:rsidRPr="00F4407C">
        <w:rPr>
          <w:rFonts w:asciiTheme="majorHAnsi" w:hAnsiTheme="majorHAnsi" w:cs="Gotham-Book"/>
          <w:color w:val="000000" w:themeColor="text1"/>
          <w:sz w:val="23"/>
          <w:szCs w:val="23"/>
        </w:rPr>
        <w:t>, athletic</w:t>
      </w:r>
      <w:r w:rsidR="00C2390C" w:rsidRPr="00F4407C">
        <w:rPr>
          <w:rFonts w:asciiTheme="majorHAnsi" w:hAnsiTheme="majorHAnsi" w:cs="Gotham-Book"/>
          <w:color w:val="000000" w:themeColor="text1"/>
          <w:sz w:val="23"/>
          <w:szCs w:val="23"/>
        </w:rPr>
        <w:t xml:space="preserve"> or cultural programs.  Here are </w:t>
      </w:r>
      <w:r w:rsidR="00C2390C" w:rsidRPr="005F4E69">
        <w:rPr>
          <w:rFonts w:asciiTheme="majorHAnsi" w:hAnsiTheme="majorHAnsi" w:cs="Gotham-Book"/>
          <w:color w:val="000000" w:themeColor="text1"/>
          <w:sz w:val="23"/>
          <w:szCs w:val="23"/>
        </w:rPr>
        <w:t>some of those characteristics:</w:t>
      </w:r>
    </w:p>
    <w:p w14:paraId="5603542B" w14:textId="4275DE98" w:rsidR="00C2390C" w:rsidRPr="005F4E69" w:rsidRDefault="00C2390C" w:rsidP="00DF511D">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 xml:space="preserve"> - El Sistema’s emphasis on the sheer joy of making music, especially together.  EFs depend on the prefrontal cortex (PFC) and the other brain regions wi</w:t>
      </w:r>
      <w:r w:rsidR="00DF511D" w:rsidRPr="005F4E69">
        <w:rPr>
          <w:rFonts w:asciiTheme="majorHAnsi" w:hAnsiTheme="majorHAnsi" w:cs="Gotham-Book"/>
          <w:color w:val="000000" w:themeColor="text1"/>
          <w:sz w:val="23"/>
          <w:szCs w:val="23"/>
        </w:rPr>
        <w:t xml:space="preserve">th which it is interconnected. </w:t>
      </w:r>
      <w:r w:rsidRPr="005F4E69">
        <w:rPr>
          <w:rFonts w:asciiTheme="majorHAnsi" w:hAnsiTheme="majorHAnsi" w:cs="Gotham-Book"/>
          <w:color w:val="000000" w:themeColor="text1"/>
          <w:sz w:val="23"/>
          <w:szCs w:val="23"/>
        </w:rPr>
        <w:t xml:space="preserve">PFC is the newest area of the brain and the most vulnerable. If you’re stressed, sad, lonely, or not physically fit, PFC and EFs take the first hit and the biggest.  Stress impairs EFs and </w:t>
      </w:r>
      <w:r w:rsidRPr="005F4E69">
        <w:rPr>
          <w:rFonts w:asciiTheme="majorHAnsi" w:hAnsiTheme="majorHAnsi" w:cs="Gotham-Book"/>
          <w:color w:val="000000" w:themeColor="text1"/>
          <w:sz w:val="23"/>
          <w:szCs w:val="23"/>
        </w:rPr>
        <w:lastRenderedPageBreak/>
        <w:t>can cause someone to look as if he or she has an EF impairment (like ADHD) even when that’s not the case.</w:t>
      </w:r>
      <w:r w:rsidR="00F0105E">
        <w:rPr>
          <w:rStyle w:val="FootnoteReference"/>
          <w:rFonts w:asciiTheme="majorHAnsi" w:hAnsiTheme="majorHAnsi" w:cs="Gotham-Book"/>
          <w:color w:val="000000" w:themeColor="text1"/>
          <w:sz w:val="23"/>
          <w:szCs w:val="23"/>
        </w:rPr>
        <w:footnoteReference w:id="2"/>
      </w:r>
      <w:r w:rsidRPr="005F4E69">
        <w:rPr>
          <w:rFonts w:asciiTheme="majorHAnsi" w:hAnsiTheme="majorHAnsi" w:cs="Gotham-Book"/>
          <w:color w:val="000000" w:themeColor="text1"/>
          <w:sz w:val="23"/>
          <w:szCs w:val="23"/>
        </w:rPr>
        <w:t xml:space="preserve">  Conversely, we show better EFs when we’re happy, </w:t>
      </w:r>
      <w:r w:rsidR="00DF511D" w:rsidRPr="005F4E69">
        <w:rPr>
          <w:rFonts w:asciiTheme="majorHAnsi" w:hAnsiTheme="majorHAnsi" w:cs="Gotham-Book"/>
          <w:color w:val="000000" w:themeColor="text1"/>
          <w:sz w:val="23"/>
          <w:szCs w:val="23"/>
        </w:rPr>
        <w:t xml:space="preserve">healthy, and feel </w:t>
      </w:r>
      <w:r w:rsidRPr="005F4E69">
        <w:rPr>
          <w:rFonts w:asciiTheme="majorHAnsi" w:hAnsiTheme="majorHAnsi" w:cs="Gotham-Book"/>
          <w:color w:val="000000" w:themeColor="text1"/>
          <w:sz w:val="23"/>
          <w:szCs w:val="23"/>
        </w:rPr>
        <w:t>socially supported. In general, people show more creativity and</w:t>
      </w:r>
      <w:r w:rsidR="005C56F2" w:rsidRPr="005F4E69">
        <w:rPr>
          <w:rFonts w:asciiTheme="majorHAnsi" w:hAnsiTheme="majorHAnsi" w:cs="Gotham-Book"/>
          <w:color w:val="000000" w:themeColor="text1"/>
          <w:sz w:val="23"/>
          <w:szCs w:val="23"/>
        </w:rPr>
        <w:t xml:space="preserve"> are better </w:t>
      </w:r>
      <w:r w:rsidR="00F4407C">
        <w:rPr>
          <w:rFonts w:asciiTheme="majorHAnsi" w:hAnsiTheme="majorHAnsi" w:cs="Gotham-Book"/>
          <w:color w:val="000000" w:themeColor="text1"/>
          <w:sz w:val="23"/>
          <w:szCs w:val="23"/>
        </w:rPr>
        <w:t xml:space="preserve">able </w:t>
      </w:r>
      <w:r w:rsidR="005C56F2" w:rsidRPr="005F4E69">
        <w:rPr>
          <w:rFonts w:asciiTheme="majorHAnsi" w:hAnsiTheme="majorHAnsi" w:cs="Gotham-Book"/>
          <w:color w:val="000000" w:themeColor="text1"/>
          <w:sz w:val="23"/>
          <w:szCs w:val="23"/>
        </w:rPr>
        <w:t>to maintain</w:t>
      </w:r>
      <w:r w:rsidRPr="005F4E69">
        <w:rPr>
          <w:rFonts w:asciiTheme="majorHAnsi" w:hAnsiTheme="majorHAnsi" w:cs="Gotham-Book"/>
          <w:color w:val="000000" w:themeColor="text1"/>
          <w:sz w:val="23"/>
          <w:szCs w:val="23"/>
        </w:rPr>
        <w:t xml:space="preserve"> focused attention when they are happier than when they are </w:t>
      </w:r>
      <w:r w:rsidR="005C56F2" w:rsidRPr="005F4E69">
        <w:rPr>
          <w:rFonts w:asciiTheme="majorHAnsi" w:hAnsiTheme="majorHAnsi" w:cs="Gotham-Book"/>
          <w:color w:val="000000" w:themeColor="text1"/>
          <w:sz w:val="23"/>
          <w:szCs w:val="23"/>
        </w:rPr>
        <w:t xml:space="preserve">more </w:t>
      </w:r>
      <w:r w:rsidRPr="005F4E69">
        <w:rPr>
          <w:rFonts w:asciiTheme="majorHAnsi" w:hAnsiTheme="majorHAnsi" w:cs="Gotham-Book"/>
          <w:color w:val="000000" w:themeColor="text1"/>
          <w:sz w:val="23"/>
          <w:szCs w:val="23"/>
        </w:rPr>
        <w:t>miserable.</w:t>
      </w:r>
      <w:r w:rsidR="00F0105E">
        <w:rPr>
          <w:rStyle w:val="FootnoteReference"/>
          <w:rFonts w:asciiTheme="majorHAnsi" w:hAnsiTheme="majorHAnsi" w:cs="Gotham-Book"/>
          <w:color w:val="000000" w:themeColor="text1"/>
          <w:sz w:val="23"/>
          <w:szCs w:val="23"/>
        </w:rPr>
        <w:footnoteReference w:id="3"/>
      </w:r>
      <w:r w:rsidRPr="005F4E69">
        <w:rPr>
          <w:rFonts w:asciiTheme="majorHAnsi" w:hAnsiTheme="majorHAnsi" w:cs="Gotham-Book"/>
          <w:color w:val="000000" w:themeColor="text1"/>
          <w:sz w:val="23"/>
          <w:szCs w:val="23"/>
        </w:rPr>
        <w:t xml:space="preserve">  </w:t>
      </w:r>
    </w:p>
    <w:p w14:paraId="58C0E32A" w14:textId="77777777" w:rsidR="00C2390C" w:rsidRPr="005F4E69" w:rsidRDefault="00C2390C" w:rsidP="00C2390C">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 xml:space="preserve">This is why El Sistema’s emphasis on joy is so important.  </w:t>
      </w:r>
      <w:bookmarkStart w:id="0" w:name="_Hlk197702738"/>
      <w:r w:rsidRPr="005F4E69">
        <w:rPr>
          <w:rFonts w:asciiTheme="majorHAnsi" w:hAnsiTheme="majorHAnsi" w:cs="Gotham-Book"/>
          <w:color w:val="000000" w:themeColor="text1"/>
          <w:sz w:val="23"/>
          <w:szCs w:val="23"/>
        </w:rPr>
        <w:t>Joy is not the opposite of serious. Indeed, research shows we learn more, and get more done, when we’re happy.  El Sistema concentrates on building positive feelin</w:t>
      </w:r>
      <w:r w:rsidR="00410EAC" w:rsidRPr="005F4E69">
        <w:rPr>
          <w:rFonts w:asciiTheme="majorHAnsi" w:hAnsiTheme="majorHAnsi" w:cs="Gotham-Book"/>
          <w:color w:val="000000" w:themeColor="text1"/>
          <w:sz w:val="23"/>
          <w:szCs w:val="23"/>
        </w:rPr>
        <w:t>gs like pride and self-confidence</w:t>
      </w:r>
      <w:r w:rsidRPr="005F4E69">
        <w:rPr>
          <w:rFonts w:asciiTheme="majorHAnsi" w:hAnsiTheme="majorHAnsi" w:cs="Gotham-Book"/>
          <w:color w:val="000000" w:themeColor="text1"/>
          <w:sz w:val="23"/>
          <w:szCs w:val="23"/>
        </w:rPr>
        <w:t>; children are encouraged not to worry about making mistakes, but to enjoy the process of music-making. In Abreu’s words, “Mistakes are simply what happens on the way to getting things right.”</w:t>
      </w:r>
      <w:bookmarkEnd w:id="0"/>
      <w:r w:rsidRPr="005F4E69">
        <w:rPr>
          <w:rFonts w:asciiTheme="majorHAnsi" w:hAnsiTheme="majorHAnsi" w:cs="Gotham-Book"/>
          <w:color w:val="000000" w:themeColor="text1"/>
          <w:sz w:val="23"/>
          <w:szCs w:val="23"/>
        </w:rPr>
        <w:t xml:space="preserve"> </w:t>
      </w:r>
    </w:p>
    <w:p w14:paraId="7AD7B186" w14:textId="77777777" w:rsidR="00C2390C" w:rsidRPr="005F4E69" w:rsidRDefault="00C2390C" w:rsidP="00F96C86">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 El Sistema’s emphasis on community.  We are fundamentally social.  We need to belong. Being part of something larger than oneself, working with others toward an important shared goal, is one of the greatest joys in life.</w:t>
      </w:r>
      <w:r w:rsidR="00171034">
        <w:rPr>
          <w:rStyle w:val="FootnoteReference"/>
          <w:rFonts w:asciiTheme="majorHAnsi" w:hAnsiTheme="majorHAnsi" w:cs="Gotham-Book"/>
          <w:color w:val="000000" w:themeColor="text1"/>
          <w:sz w:val="23"/>
          <w:szCs w:val="23"/>
        </w:rPr>
        <w:footnoteReference w:id="4"/>
      </w:r>
      <w:r w:rsidRPr="005F4E69">
        <w:rPr>
          <w:rFonts w:asciiTheme="majorHAnsi" w:hAnsiTheme="majorHAnsi" w:cs="Gotham-Book"/>
          <w:color w:val="000000" w:themeColor="text1"/>
          <w:sz w:val="23"/>
          <w:szCs w:val="23"/>
        </w:rPr>
        <w:t xml:space="preserve">  We need to feel that there are others who care about us and are there for us. We need to fit in and be liked. PFC works </w:t>
      </w:r>
      <w:r w:rsidR="00F96C86" w:rsidRPr="005F4E69">
        <w:rPr>
          <w:rFonts w:asciiTheme="majorHAnsi" w:hAnsiTheme="majorHAnsi" w:cs="Gotham-Book"/>
          <w:color w:val="000000" w:themeColor="text1"/>
          <w:sz w:val="23"/>
          <w:szCs w:val="23"/>
        </w:rPr>
        <w:t>more</w:t>
      </w:r>
      <w:r w:rsidRPr="005F4E69">
        <w:rPr>
          <w:rFonts w:asciiTheme="majorHAnsi" w:hAnsiTheme="majorHAnsi" w:cs="Gotham-Book"/>
          <w:color w:val="000000" w:themeColor="text1"/>
          <w:sz w:val="23"/>
          <w:szCs w:val="23"/>
        </w:rPr>
        <w:t xml:space="preserve"> efficiently, and we have </w:t>
      </w:r>
      <w:r w:rsidR="00F96C86" w:rsidRPr="005F4E69">
        <w:rPr>
          <w:rFonts w:asciiTheme="majorHAnsi" w:hAnsiTheme="majorHAnsi" w:cs="Gotham-Book"/>
          <w:color w:val="000000" w:themeColor="text1"/>
          <w:sz w:val="23"/>
          <w:szCs w:val="23"/>
        </w:rPr>
        <w:t>better</w:t>
      </w:r>
      <w:r w:rsidRPr="005F4E69">
        <w:rPr>
          <w:rFonts w:asciiTheme="majorHAnsi" w:hAnsiTheme="majorHAnsi" w:cs="Gotham-Book"/>
          <w:color w:val="000000" w:themeColor="text1"/>
          <w:sz w:val="23"/>
          <w:szCs w:val="23"/>
        </w:rPr>
        <w:t xml:space="preserve"> EFs, when we feel we’re</w:t>
      </w:r>
      <w:r w:rsidR="00F96C86" w:rsidRPr="005F4E69">
        <w:rPr>
          <w:rFonts w:asciiTheme="majorHAnsi" w:hAnsiTheme="majorHAnsi" w:cs="Gotham-Book"/>
          <w:color w:val="000000" w:themeColor="text1"/>
          <w:sz w:val="23"/>
          <w:szCs w:val="23"/>
        </w:rPr>
        <w:t xml:space="preserve"> not</w:t>
      </w:r>
      <w:r w:rsidRPr="005F4E69">
        <w:rPr>
          <w:rFonts w:asciiTheme="majorHAnsi" w:hAnsiTheme="majorHAnsi" w:cs="Gotham-Book"/>
          <w:color w:val="000000" w:themeColor="text1"/>
          <w:sz w:val="23"/>
          <w:szCs w:val="23"/>
        </w:rPr>
        <w:t xml:space="preserve"> alone.</w:t>
      </w:r>
      <w:r w:rsidR="00171034">
        <w:rPr>
          <w:rStyle w:val="FootnoteReference"/>
          <w:rFonts w:asciiTheme="majorHAnsi" w:hAnsiTheme="majorHAnsi" w:cs="Gotham-Book"/>
          <w:color w:val="000000" w:themeColor="text1"/>
          <w:sz w:val="23"/>
          <w:szCs w:val="23"/>
        </w:rPr>
        <w:footnoteReference w:id="5"/>
      </w:r>
      <w:r w:rsidRPr="005F4E69">
        <w:rPr>
          <w:rFonts w:asciiTheme="majorHAnsi" w:hAnsiTheme="majorHAnsi" w:cs="Gotham-Book"/>
          <w:color w:val="000000" w:themeColor="text1"/>
          <w:sz w:val="23"/>
          <w:szCs w:val="23"/>
        </w:rPr>
        <w:t xml:space="preserve">   El Sistema’s practices of learning in ensemble and encouraging children to t</w:t>
      </w:r>
      <w:r w:rsidR="00F96C86" w:rsidRPr="005F4E69">
        <w:rPr>
          <w:rFonts w:asciiTheme="majorHAnsi" w:hAnsiTheme="majorHAnsi" w:cs="Gotham-Book"/>
          <w:color w:val="000000" w:themeColor="text1"/>
          <w:sz w:val="23"/>
          <w:szCs w:val="23"/>
        </w:rPr>
        <w:t>each one another</w:t>
      </w:r>
      <w:r w:rsidR="00540C47">
        <w:rPr>
          <w:rStyle w:val="FootnoteReference"/>
          <w:rFonts w:asciiTheme="majorHAnsi" w:hAnsiTheme="majorHAnsi" w:cs="Gotham-Book"/>
          <w:color w:val="000000" w:themeColor="text1"/>
          <w:sz w:val="23"/>
          <w:szCs w:val="23"/>
        </w:rPr>
        <w:footnoteReference w:id="6"/>
      </w:r>
      <w:r w:rsidR="00F96C86" w:rsidRPr="005F4E69">
        <w:rPr>
          <w:rFonts w:asciiTheme="majorHAnsi" w:hAnsiTheme="majorHAnsi" w:cs="Gotham-Book"/>
          <w:color w:val="000000" w:themeColor="text1"/>
          <w:sz w:val="23"/>
          <w:szCs w:val="23"/>
        </w:rPr>
        <w:t xml:space="preserve"> help to build </w:t>
      </w:r>
      <w:r w:rsidRPr="005F4E69">
        <w:rPr>
          <w:rFonts w:asciiTheme="majorHAnsi" w:hAnsiTheme="majorHAnsi" w:cs="Gotham-Book"/>
          <w:color w:val="000000" w:themeColor="text1"/>
          <w:sz w:val="23"/>
          <w:szCs w:val="23"/>
        </w:rPr>
        <w:t>feelings of community and solidar</w:t>
      </w:r>
      <w:r w:rsidR="00F96C86" w:rsidRPr="005F4E69">
        <w:rPr>
          <w:rFonts w:asciiTheme="majorHAnsi" w:hAnsiTheme="majorHAnsi" w:cs="Gotham-Book"/>
          <w:color w:val="000000" w:themeColor="text1"/>
          <w:sz w:val="23"/>
          <w:szCs w:val="23"/>
        </w:rPr>
        <w:t>it</w:t>
      </w:r>
      <w:r w:rsidRPr="005F4E69">
        <w:rPr>
          <w:rFonts w:asciiTheme="majorHAnsi" w:hAnsiTheme="majorHAnsi" w:cs="Gotham-Book"/>
          <w:color w:val="000000" w:themeColor="text1"/>
          <w:sz w:val="23"/>
          <w:szCs w:val="23"/>
        </w:rPr>
        <w:t xml:space="preserve">y. </w:t>
      </w:r>
    </w:p>
    <w:p w14:paraId="3FC257C4" w14:textId="77777777" w:rsidR="00C2390C" w:rsidRPr="005F4E69" w:rsidRDefault="00C2390C" w:rsidP="009B05D6">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 xml:space="preserve">- El Sistema’s emphasis on the physical activities of playing and practicing. The brain doesn’t </w:t>
      </w:r>
      <w:r w:rsidRPr="005F4E69">
        <w:rPr>
          <w:rFonts w:asciiTheme="majorHAnsi" w:hAnsiTheme="majorHAnsi" w:cs="Gotham-Book"/>
          <w:color w:val="000000" w:themeColor="text1"/>
          <w:sz w:val="23"/>
          <w:szCs w:val="23"/>
        </w:rPr>
        <w:lastRenderedPageBreak/>
        <w:t>recognize the same sharp division between cognitive and motor function that we impose in our thinking.</w:t>
      </w:r>
      <w:r w:rsidR="00555EEB">
        <w:rPr>
          <w:rStyle w:val="FootnoteReference"/>
          <w:rFonts w:asciiTheme="majorHAnsi" w:hAnsiTheme="majorHAnsi" w:cs="Gotham-Book"/>
          <w:color w:val="000000" w:themeColor="text1"/>
          <w:sz w:val="23"/>
          <w:szCs w:val="23"/>
        </w:rPr>
        <w:footnoteReference w:id="7"/>
      </w:r>
      <w:r w:rsidRPr="005F4E69">
        <w:rPr>
          <w:rFonts w:asciiTheme="majorHAnsi" w:hAnsiTheme="majorHAnsi" w:cs="Gotham-Book"/>
          <w:color w:val="000000" w:themeColor="text1"/>
          <w:sz w:val="23"/>
          <w:szCs w:val="23"/>
        </w:rPr>
        <w:t xml:space="preserve"> The same or substantially overlapping brain </w:t>
      </w:r>
      <w:r w:rsidR="009B05D6" w:rsidRPr="005F4E69">
        <w:rPr>
          <w:rFonts w:asciiTheme="majorHAnsi" w:hAnsiTheme="majorHAnsi" w:cs="Gotham-Book"/>
          <w:color w:val="000000" w:themeColor="text1"/>
          <w:sz w:val="23"/>
          <w:szCs w:val="23"/>
        </w:rPr>
        <w:t>regions</w:t>
      </w:r>
      <w:r w:rsidRPr="005F4E69">
        <w:rPr>
          <w:rFonts w:asciiTheme="majorHAnsi" w:hAnsiTheme="majorHAnsi" w:cs="Gotham-Book"/>
          <w:color w:val="000000" w:themeColor="text1"/>
          <w:sz w:val="23"/>
          <w:szCs w:val="23"/>
        </w:rPr>
        <w:t xml:space="preserve"> subserve both cognitive and motor function</w:t>
      </w:r>
      <w:r w:rsidR="009B05D6" w:rsidRPr="005F4E69">
        <w:rPr>
          <w:rFonts w:asciiTheme="majorHAnsi" w:hAnsiTheme="majorHAnsi" w:cs="Gotham-Book"/>
          <w:color w:val="000000" w:themeColor="text1"/>
          <w:sz w:val="23"/>
          <w:szCs w:val="23"/>
        </w:rPr>
        <w:t>s</w:t>
      </w:r>
      <w:r w:rsidRPr="005F4E69">
        <w:rPr>
          <w:rFonts w:asciiTheme="majorHAnsi" w:hAnsiTheme="majorHAnsi" w:cs="Gotham-Book"/>
          <w:color w:val="000000" w:themeColor="text1"/>
          <w:sz w:val="23"/>
          <w:szCs w:val="23"/>
        </w:rPr>
        <w:t>. For example, an area of the brain known as the pre-SMA is important for sequential tasks, regardless of whether they are cognitive or motor.</w:t>
      </w:r>
      <w:r w:rsidR="00555EEB">
        <w:rPr>
          <w:rStyle w:val="FootnoteReference"/>
          <w:rFonts w:asciiTheme="majorHAnsi" w:hAnsiTheme="majorHAnsi" w:cs="Gotham-Book"/>
          <w:color w:val="000000" w:themeColor="text1"/>
          <w:sz w:val="23"/>
          <w:szCs w:val="23"/>
        </w:rPr>
        <w:footnoteReference w:id="8"/>
      </w:r>
      <w:r w:rsidRPr="005F4E69">
        <w:rPr>
          <w:rFonts w:asciiTheme="majorHAnsi" w:hAnsiTheme="majorHAnsi" w:cs="Gotham-Book"/>
          <w:color w:val="000000" w:themeColor="text1"/>
          <w:sz w:val="23"/>
          <w:szCs w:val="23"/>
        </w:rPr>
        <w:t xml:space="preserve"> </w:t>
      </w:r>
    </w:p>
    <w:p w14:paraId="1DADDE3C" w14:textId="77777777" w:rsidR="00C2390C" w:rsidRPr="005F4E69" w:rsidRDefault="00C2390C" w:rsidP="00F2237E">
      <w:pPr>
        <w:pStyle w:val="BasicParagraph"/>
        <w:suppressAutoHyphens/>
        <w:spacing w:after="90"/>
        <w:rPr>
          <w:rFonts w:asciiTheme="majorHAnsi" w:hAnsiTheme="majorHAnsi" w:cs="Gotham-Book"/>
          <w:color w:val="000000" w:themeColor="text1"/>
          <w:sz w:val="23"/>
          <w:szCs w:val="23"/>
        </w:rPr>
      </w:pPr>
      <w:r w:rsidRPr="005F4E69">
        <w:rPr>
          <w:rFonts w:asciiTheme="majorHAnsi" w:hAnsiTheme="majorHAnsi" w:cs="Gotham-Book"/>
          <w:color w:val="000000" w:themeColor="text1"/>
          <w:sz w:val="23"/>
          <w:szCs w:val="23"/>
        </w:rPr>
        <w:t>The different parts of a person are fundamentally interrelated.</w:t>
      </w:r>
      <w:r w:rsidR="00F2237E">
        <w:rPr>
          <w:rStyle w:val="FootnoteReference"/>
          <w:rFonts w:asciiTheme="majorHAnsi" w:hAnsiTheme="majorHAnsi" w:cs="Gotham-Book"/>
          <w:color w:val="000000" w:themeColor="text1"/>
          <w:sz w:val="23"/>
          <w:szCs w:val="23"/>
        </w:rPr>
        <w:footnoteReference w:id="9"/>
      </w:r>
      <w:r w:rsidR="00F2237E">
        <w:rPr>
          <w:rFonts w:asciiTheme="majorHAnsi" w:hAnsiTheme="majorHAnsi" w:cs="Gotham-Book"/>
          <w:color w:val="000000" w:themeColor="text1"/>
          <w:sz w:val="23"/>
          <w:szCs w:val="23"/>
        </w:rPr>
        <w:t xml:space="preserve"> </w:t>
      </w:r>
      <w:r w:rsidRPr="005F4E69">
        <w:rPr>
          <w:rFonts w:asciiTheme="majorHAnsi" w:hAnsiTheme="majorHAnsi" w:cs="Gotham-Book"/>
          <w:color w:val="000000" w:themeColor="text1"/>
          <w:sz w:val="23"/>
          <w:szCs w:val="23"/>
        </w:rPr>
        <w:t>Each part (cognitive, spiritual,</w:t>
      </w:r>
      <w:r w:rsidR="009B05D6" w:rsidRPr="005F4E69">
        <w:rPr>
          <w:rFonts w:asciiTheme="majorHAnsi" w:hAnsiTheme="majorHAnsi" w:cs="Gotham-Book"/>
          <w:color w:val="000000" w:themeColor="text1"/>
          <w:sz w:val="23"/>
          <w:szCs w:val="23"/>
        </w:rPr>
        <w:t xml:space="preserve"> </w:t>
      </w:r>
      <w:r w:rsidRPr="005F4E69">
        <w:rPr>
          <w:rFonts w:asciiTheme="majorHAnsi" w:hAnsiTheme="majorHAnsi" w:cs="Gotham-Book"/>
          <w:color w:val="000000" w:themeColor="text1"/>
          <w:sz w:val="23"/>
          <w:szCs w:val="23"/>
        </w:rPr>
        <w:t xml:space="preserve">social, emotional, and physical) is affected by, and affects, the others. We have to care about children’s emotional, social, and physical well-being, if we want them to be able to problem-solve, exercise self-control, or display any of the other EFs.  When children are stressed, sad, lonely or not physically fit, </w:t>
      </w:r>
      <w:r w:rsidR="009B05D6" w:rsidRPr="005F4E69">
        <w:rPr>
          <w:rFonts w:asciiTheme="majorHAnsi" w:hAnsiTheme="majorHAnsi" w:cs="Gotham-Book"/>
          <w:color w:val="000000" w:themeColor="text1"/>
          <w:sz w:val="23"/>
          <w:szCs w:val="23"/>
        </w:rPr>
        <w:t xml:space="preserve">their </w:t>
      </w:r>
      <w:r w:rsidRPr="005F4E69">
        <w:rPr>
          <w:rFonts w:asciiTheme="majorHAnsi" w:hAnsiTheme="majorHAnsi" w:cs="Gotham-Book"/>
          <w:color w:val="000000" w:themeColor="text1"/>
          <w:sz w:val="23"/>
          <w:szCs w:val="23"/>
        </w:rPr>
        <w:t xml:space="preserve">academic performance </w:t>
      </w:r>
      <w:r w:rsidR="009B05D6" w:rsidRPr="005F4E69">
        <w:rPr>
          <w:rFonts w:asciiTheme="majorHAnsi" w:hAnsiTheme="majorHAnsi" w:cs="Gotham-Book"/>
          <w:color w:val="000000" w:themeColor="text1"/>
          <w:sz w:val="23"/>
          <w:szCs w:val="23"/>
        </w:rPr>
        <w:t>s</w:t>
      </w:r>
      <w:r w:rsidRPr="005F4E69">
        <w:rPr>
          <w:rFonts w:asciiTheme="majorHAnsi" w:hAnsiTheme="majorHAnsi" w:cs="Gotham-Book"/>
          <w:color w:val="000000" w:themeColor="text1"/>
          <w:sz w:val="23"/>
          <w:szCs w:val="23"/>
        </w:rPr>
        <w:t>uffer</w:t>
      </w:r>
      <w:r w:rsidR="009B05D6" w:rsidRPr="005F4E69">
        <w:rPr>
          <w:rFonts w:asciiTheme="majorHAnsi" w:hAnsiTheme="majorHAnsi" w:cs="Gotham-Book"/>
          <w:color w:val="000000" w:themeColor="text1"/>
          <w:sz w:val="23"/>
          <w:szCs w:val="23"/>
        </w:rPr>
        <w:t>s</w:t>
      </w:r>
      <w:r w:rsidRPr="005F4E69">
        <w:rPr>
          <w:rFonts w:asciiTheme="majorHAnsi" w:hAnsiTheme="majorHAnsi" w:cs="Gotham-Book"/>
          <w:color w:val="000000" w:themeColor="text1"/>
          <w:sz w:val="23"/>
          <w:szCs w:val="23"/>
        </w:rPr>
        <w:t>.</w:t>
      </w:r>
      <w:r w:rsidR="00F2237E">
        <w:rPr>
          <w:rStyle w:val="FootnoteReference"/>
          <w:rFonts w:asciiTheme="majorHAnsi" w:hAnsiTheme="majorHAnsi" w:cs="Gotham-Book"/>
          <w:color w:val="000000" w:themeColor="text1"/>
          <w:sz w:val="23"/>
          <w:szCs w:val="23"/>
        </w:rPr>
        <w:footnoteReference w:id="10"/>
      </w:r>
      <w:r w:rsidRPr="005F4E69">
        <w:rPr>
          <w:rFonts w:asciiTheme="majorHAnsi" w:hAnsiTheme="majorHAnsi" w:cs="Gotham-Book"/>
          <w:color w:val="000000" w:themeColor="text1"/>
          <w:sz w:val="23"/>
          <w:szCs w:val="23"/>
        </w:rPr>
        <w:t xml:space="preserve"> </w:t>
      </w:r>
    </w:p>
    <w:p w14:paraId="32336A15" w14:textId="77777777" w:rsidR="00C2390C" w:rsidRDefault="00C2390C" w:rsidP="00372CBA">
      <w:pPr>
        <w:pStyle w:val="BasicParagraph"/>
        <w:suppressAutoHyphens/>
        <w:spacing w:after="90"/>
        <w:rPr>
          <w:rFonts w:ascii="Gotham-Book" w:hAnsi="Gotham-Book" w:cs="Gotham-Book"/>
          <w:sz w:val="16"/>
          <w:szCs w:val="16"/>
        </w:rPr>
      </w:pPr>
      <w:r w:rsidRPr="005F4E69">
        <w:rPr>
          <w:rFonts w:asciiTheme="majorHAnsi" w:hAnsiTheme="majorHAnsi" w:cs="Gotham-Book"/>
          <w:color w:val="000000" w:themeColor="text1"/>
          <w:sz w:val="23"/>
          <w:szCs w:val="23"/>
        </w:rPr>
        <w:t>It is worrisome that activities needed for children to thrive (such as music</w:t>
      </w:r>
      <w:r w:rsidR="00372CBA" w:rsidRPr="005F4E69">
        <w:rPr>
          <w:rFonts w:asciiTheme="majorHAnsi" w:hAnsiTheme="majorHAnsi" w:cs="Gotham-Book"/>
          <w:color w:val="000000" w:themeColor="text1"/>
          <w:sz w:val="23"/>
          <w:szCs w:val="23"/>
        </w:rPr>
        <w:t>-making and play</w:t>
      </w:r>
      <w:r w:rsidRPr="005F4E69">
        <w:rPr>
          <w:rFonts w:asciiTheme="majorHAnsi" w:hAnsiTheme="majorHAnsi" w:cs="Gotham-Book"/>
          <w:color w:val="000000" w:themeColor="text1"/>
          <w:sz w:val="23"/>
          <w:szCs w:val="23"/>
        </w:rPr>
        <w:t>) are disappearing from school curricula and children’s lives.  Mainstream education may have it exactly backwards.  Focusing exclusively on training cognitive skills is probably less efficient or effective than also addressing youths’ emotional, social, and physical needs.</w:t>
      </w:r>
      <w:r w:rsidR="00F2237E">
        <w:rPr>
          <w:rStyle w:val="FootnoteReference"/>
          <w:rFonts w:asciiTheme="majorHAnsi" w:hAnsiTheme="majorHAnsi" w:cs="Gotham-Book"/>
          <w:color w:val="000000" w:themeColor="text1"/>
          <w:sz w:val="23"/>
          <w:szCs w:val="23"/>
        </w:rPr>
        <w:footnoteReference w:id="11"/>
      </w:r>
      <w:r w:rsidRPr="005F4E69">
        <w:rPr>
          <w:rFonts w:asciiTheme="majorHAnsi" w:hAnsiTheme="majorHAnsi" w:cs="Gotham-Book"/>
          <w:color w:val="000000" w:themeColor="text1"/>
          <w:sz w:val="23"/>
          <w:szCs w:val="23"/>
        </w:rPr>
        <w:t xml:space="preserve">  Addressing those needs may be key to whether children do well in school and in life. No program does a better job of addressing the whole child – mind, heart, and soul – than does El Sistema. </w:t>
      </w:r>
      <w:r>
        <w:rPr>
          <w:rFonts w:ascii="Gotham-Book" w:hAnsi="Gotham-Book" w:cs="Gotham-Book"/>
          <w:sz w:val="16"/>
          <w:szCs w:val="16"/>
        </w:rPr>
        <w:t xml:space="preserve">  </w:t>
      </w:r>
    </w:p>
    <w:p w14:paraId="797969A3" w14:textId="11B851CF" w:rsidR="003F1BF4" w:rsidRDefault="00C2390C" w:rsidP="00C2390C">
      <w:r>
        <w:rPr>
          <w:rFonts w:ascii="Gotham-Book" w:hAnsi="Gotham-Book" w:cs="Gotham-Book"/>
          <w:sz w:val="16"/>
          <w:szCs w:val="16"/>
        </w:rPr>
        <w:t xml:space="preserve">[To watch a TEDx Talk on this subject, watch Adele Diamond at: </w:t>
      </w:r>
      <w:hyperlink r:id="rId7" w:history="1">
        <w:r>
          <w:rPr>
            <w:rFonts w:ascii="Gotham-Book" w:hAnsi="Gotham-Book" w:cs="Gotham-Book"/>
            <w:color w:val="902265"/>
            <w:sz w:val="16"/>
            <w:szCs w:val="16"/>
          </w:rPr>
          <w:t>http://tedxtalks.ted.com/video/Turning-some-Ideas-on-their-Hea</w:t>
        </w:r>
      </w:hyperlink>
      <w:r w:rsidR="009B05D6" w:rsidRPr="00B942A7">
        <w:rPr>
          <w:rFonts w:ascii="Gotham-Book" w:hAnsi="Gotham-Book" w:cs="Gotham-Book"/>
          <w:color w:val="902265"/>
          <w:sz w:val="16"/>
          <w:szCs w:val="16"/>
        </w:rPr>
        <w:t>d</w:t>
      </w:r>
      <w:r>
        <w:rPr>
          <w:rFonts w:ascii="Gotham-Book" w:hAnsi="Gotham-Book" w:cs="Gotham-Book"/>
          <w:sz w:val="16"/>
          <w:szCs w:val="16"/>
        </w:rPr>
        <w:t>]</w:t>
      </w:r>
    </w:p>
    <w:sectPr w:rsidR="003F1BF4" w:rsidSect="003F1BF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34E2B" w14:textId="77777777" w:rsidR="00930809" w:rsidRDefault="00930809" w:rsidP="005F4E69">
      <w:r>
        <w:separator/>
      </w:r>
    </w:p>
  </w:endnote>
  <w:endnote w:type="continuationSeparator" w:id="0">
    <w:p w14:paraId="6659B3DB" w14:textId="77777777" w:rsidR="00930809" w:rsidRDefault="00930809" w:rsidP="005F4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40503050306020203"/>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Medium">
    <w:altName w:val="Cambria"/>
    <w:panose1 w:val="00000000000000000000"/>
    <w:charset w:val="4D"/>
    <w:family w:val="auto"/>
    <w:notTrueType/>
    <w:pitch w:val="default"/>
    <w:sig w:usb0="00000003" w:usb1="00000000" w:usb2="00000000" w:usb3="00000000" w:csb0="00000001" w:csb1="00000000"/>
  </w:font>
  <w:font w:name="Gotham-Bold">
    <w:altName w:val="Cambria"/>
    <w:panose1 w:val="00000000000000000000"/>
    <w:charset w:val="4D"/>
    <w:family w:val="auto"/>
    <w:notTrueType/>
    <w:pitch w:val="default"/>
    <w:sig w:usb0="00000003" w:usb1="00000000" w:usb2="00000000" w:usb3="00000000" w:csb0="00000001" w:csb1="00000000"/>
  </w:font>
  <w:font w:name="Gotham-Book">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59CE" w14:textId="77777777" w:rsidR="00930809" w:rsidRDefault="00930809" w:rsidP="005F4E69">
      <w:r>
        <w:separator/>
      </w:r>
    </w:p>
  </w:footnote>
  <w:footnote w:type="continuationSeparator" w:id="0">
    <w:p w14:paraId="3F7B110E" w14:textId="77777777" w:rsidR="00930809" w:rsidRDefault="00930809" w:rsidP="005F4E69">
      <w:r>
        <w:continuationSeparator/>
      </w:r>
    </w:p>
  </w:footnote>
  <w:footnote w:id="1">
    <w:p w14:paraId="7AD5BD19" w14:textId="77777777" w:rsidR="009D489D" w:rsidRPr="009D489D" w:rsidRDefault="009D489D" w:rsidP="009D489D">
      <w:pPr>
        <w:pStyle w:val="FootnoteText"/>
        <w:ind w:left="90" w:hanging="90"/>
        <w:rPr>
          <w:rFonts w:asciiTheme="majorHAnsi" w:hAnsiTheme="majorHAnsi"/>
          <w:lang w:val="en-CA"/>
        </w:rPr>
      </w:pPr>
      <w:r>
        <w:rPr>
          <w:rStyle w:val="FootnoteReference"/>
        </w:rPr>
        <w:footnoteRef/>
      </w:r>
      <w:r>
        <w:t xml:space="preserve"> </w:t>
      </w:r>
      <w:r>
        <w:rPr>
          <w:rFonts w:asciiTheme="majorHAnsi" w:hAnsiTheme="majorHAnsi"/>
          <w:lang w:val="en-CA"/>
        </w:rPr>
        <w:t>Diamond, A., &amp; Ling, D. S.</w:t>
      </w:r>
      <w:r w:rsidRPr="009D489D">
        <w:rPr>
          <w:rFonts w:asciiTheme="majorHAnsi" w:hAnsiTheme="majorHAnsi"/>
          <w:lang w:val="en-CA"/>
        </w:rPr>
        <w:t xml:space="preserve">, (2016). Conclusions about interventions, programs, and approaches for improving executive functions that appear justified and those that, despite much hype, do not. </w:t>
      </w:r>
      <w:r w:rsidRPr="009D489D">
        <w:rPr>
          <w:rFonts w:asciiTheme="majorHAnsi" w:hAnsiTheme="majorHAnsi"/>
          <w:i/>
          <w:iCs/>
          <w:lang w:val="en-CA"/>
        </w:rPr>
        <w:t>Developmental Cognitive Neuroscience</w:t>
      </w:r>
      <w:r>
        <w:rPr>
          <w:rFonts w:asciiTheme="majorHAnsi" w:hAnsiTheme="majorHAnsi"/>
          <w:i/>
          <w:iCs/>
          <w:lang w:val="en-CA"/>
        </w:rPr>
        <w:t xml:space="preserve">, </w:t>
      </w:r>
      <w:r w:rsidRPr="009D489D">
        <w:rPr>
          <w:rFonts w:asciiTheme="majorHAnsi" w:hAnsiTheme="majorHAnsi"/>
          <w:i/>
          <w:iCs/>
          <w:lang w:val="en-CA"/>
        </w:rPr>
        <w:t>18</w:t>
      </w:r>
      <w:r w:rsidRPr="009D489D">
        <w:rPr>
          <w:rFonts w:asciiTheme="majorHAnsi" w:hAnsiTheme="majorHAnsi"/>
          <w:lang w:val="en-CA"/>
        </w:rPr>
        <w:t>, 34-48.</w:t>
      </w:r>
    </w:p>
  </w:footnote>
  <w:footnote w:id="2">
    <w:p w14:paraId="74C46EE0" w14:textId="77777777" w:rsidR="00F0105E" w:rsidRDefault="00F0105E" w:rsidP="004C52D0">
      <w:pPr>
        <w:pStyle w:val="FootnoteText"/>
        <w:spacing w:line="252" w:lineRule="auto"/>
        <w:ind w:left="360" w:hanging="360"/>
        <w:rPr>
          <w:rFonts w:asciiTheme="majorHAnsi" w:hAnsiTheme="majorHAnsi"/>
          <w:lang w:val="en-CA"/>
        </w:rPr>
      </w:pPr>
      <w:r>
        <w:rPr>
          <w:rStyle w:val="FootnoteReference"/>
        </w:rPr>
        <w:footnoteRef/>
      </w:r>
      <w:r>
        <w:t xml:space="preserve"> </w:t>
      </w:r>
      <w:r w:rsidR="0055006E">
        <w:t xml:space="preserve"> </w:t>
      </w:r>
      <w:r w:rsidR="001C4197" w:rsidRPr="001C4197">
        <w:rPr>
          <w:rFonts w:asciiTheme="majorHAnsi" w:hAnsiTheme="majorHAnsi"/>
          <w:lang w:val="en-CA"/>
        </w:rPr>
        <w:t>Arnsten, A. F. T., Mazure, C. M., &amp; Sinha, R. (2012). This is your brain on meltdown. Scientific American, 306(4).</w:t>
      </w:r>
    </w:p>
    <w:p w14:paraId="2EDE7EE3" w14:textId="77777777" w:rsidR="0055006E" w:rsidRPr="0055006E" w:rsidRDefault="0055006E" w:rsidP="007B6125">
      <w:pPr>
        <w:pStyle w:val="FootnoteText"/>
        <w:spacing w:line="252" w:lineRule="auto"/>
        <w:ind w:left="345" w:hanging="187"/>
        <w:rPr>
          <w:rFonts w:asciiTheme="majorHAnsi" w:hAnsiTheme="majorHAnsi"/>
          <w:lang w:val="en-CA"/>
        </w:rPr>
      </w:pPr>
      <w:r w:rsidRPr="0055006E">
        <w:rPr>
          <w:rFonts w:asciiTheme="majorHAnsi" w:hAnsiTheme="majorHAnsi"/>
          <w:lang w:val="en-CA"/>
        </w:rPr>
        <w:t xml:space="preserve">McEwen, B. S., &amp; Morrison, J. H. (2013). Brain on stress: Vulnerability and plasticity of the prefrontal cortex over the life course. </w:t>
      </w:r>
      <w:r w:rsidRPr="0055006E">
        <w:rPr>
          <w:rFonts w:asciiTheme="majorHAnsi" w:hAnsiTheme="majorHAnsi"/>
          <w:i/>
          <w:iCs/>
          <w:lang w:val="en-CA"/>
        </w:rPr>
        <w:t>Neuron, 79</w:t>
      </w:r>
      <w:r w:rsidRPr="0055006E">
        <w:rPr>
          <w:rFonts w:asciiTheme="majorHAnsi" w:hAnsiTheme="majorHAnsi"/>
          <w:lang w:val="en-CA"/>
        </w:rPr>
        <w:t xml:space="preserve">(1), 16–29. </w:t>
      </w:r>
    </w:p>
    <w:p w14:paraId="28B69984" w14:textId="77777777" w:rsidR="00F0105E" w:rsidRPr="0055006E" w:rsidRDefault="00F0105E" w:rsidP="004C52D0">
      <w:pPr>
        <w:pStyle w:val="FootnoteText"/>
        <w:spacing w:line="252" w:lineRule="auto"/>
        <w:rPr>
          <w:sz w:val="14"/>
          <w:szCs w:val="14"/>
          <w:lang w:val="en-CA"/>
        </w:rPr>
      </w:pPr>
    </w:p>
  </w:footnote>
  <w:footnote w:id="3">
    <w:p w14:paraId="002C28A3" w14:textId="77777777" w:rsidR="00F0105E" w:rsidRDefault="00F0105E" w:rsidP="004C52D0">
      <w:pPr>
        <w:pStyle w:val="FootnoteText"/>
        <w:spacing w:line="252" w:lineRule="auto"/>
        <w:ind w:left="360" w:hanging="360"/>
        <w:rPr>
          <w:rFonts w:asciiTheme="majorHAnsi" w:hAnsiTheme="majorHAnsi"/>
        </w:rPr>
      </w:pPr>
      <w:r>
        <w:rPr>
          <w:rStyle w:val="FootnoteReference"/>
        </w:rPr>
        <w:footnoteRef/>
      </w:r>
      <w:r>
        <w:t xml:space="preserve"> </w:t>
      </w:r>
      <w:r w:rsidR="007B6125">
        <w:t xml:space="preserve"> </w:t>
      </w:r>
      <w:r w:rsidR="001C4197" w:rsidRPr="001C4197">
        <w:rPr>
          <w:rFonts w:asciiTheme="majorHAnsi" w:hAnsiTheme="majorHAnsi"/>
        </w:rPr>
        <w:t>Hirt, E. R., Devers, E. E., &amp; McCrea, S. M. (2008). I want to be creative: Exploring the role of hedonic contingency theory in the positive mood-cognitive flexibility link.</w:t>
      </w:r>
      <w:r w:rsidR="001C4197" w:rsidRPr="001C4197">
        <w:rPr>
          <w:rFonts w:asciiTheme="majorHAnsi" w:hAnsiTheme="majorHAnsi"/>
          <w:i/>
          <w:iCs/>
        </w:rPr>
        <w:t xml:space="preserve"> Journal of Personality and Social Psychology, 94</w:t>
      </w:r>
      <w:r w:rsidR="001C4197" w:rsidRPr="001C4197">
        <w:rPr>
          <w:rFonts w:asciiTheme="majorHAnsi" w:hAnsiTheme="majorHAnsi"/>
        </w:rPr>
        <w:t>, 214-230.</w:t>
      </w:r>
    </w:p>
    <w:p w14:paraId="391F93DC" w14:textId="77777777" w:rsidR="006C4D2C" w:rsidRPr="006C4D2C" w:rsidRDefault="006C4D2C" w:rsidP="004C52D0">
      <w:pPr>
        <w:pStyle w:val="FootnoteText"/>
        <w:spacing w:line="252" w:lineRule="auto"/>
        <w:ind w:left="90" w:hanging="90"/>
        <w:rPr>
          <w:rFonts w:asciiTheme="majorHAnsi" w:hAnsiTheme="majorHAnsi"/>
          <w:sz w:val="14"/>
          <w:szCs w:val="14"/>
          <w:lang w:val="en-CA"/>
        </w:rPr>
      </w:pPr>
    </w:p>
  </w:footnote>
  <w:footnote w:id="4">
    <w:p w14:paraId="0B7843EE" w14:textId="77777777" w:rsidR="004C52D0" w:rsidRPr="004C52D0" w:rsidRDefault="00171034" w:rsidP="004C52D0">
      <w:pPr>
        <w:widowControl w:val="0"/>
        <w:spacing w:line="252" w:lineRule="auto"/>
        <w:ind w:left="446" w:hanging="446"/>
        <w:rPr>
          <w:rFonts w:ascii="Calibri" w:hAnsi="Calibri" w:cs="Arial"/>
          <w:spacing w:val="2"/>
          <w:sz w:val="20"/>
        </w:rPr>
      </w:pPr>
      <w:r>
        <w:rPr>
          <w:rStyle w:val="FootnoteReference"/>
        </w:rPr>
        <w:footnoteRef/>
      </w:r>
      <w:r>
        <w:t xml:space="preserve"> </w:t>
      </w:r>
      <w:r w:rsidR="007B6125">
        <w:t xml:space="preserve"> </w:t>
      </w:r>
      <w:proofErr w:type="spellStart"/>
      <w:r w:rsidR="004C52D0" w:rsidRPr="004C52D0">
        <w:rPr>
          <w:rFonts w:ascii="Calibri" w:hAnsi="Calibri" w:cs="Arial"/>
          <w:spacing w:val="2"/>
          <w:sz w:val="20"/>
        </w:rPr>
        <w:t>Urry</w:t>
      </w:r>
      <w:proofErr w:type="spellEnd"/>
      <w:r w:rsidR="004C52D0" w:rsidRPr="004C52D0">
        <w:rPr>
          <w:rFonts w:ascii="Calibri" w:hAnsi="Calibri" w:cs="Arial"/>
          <w:spacing w:val="2"/>
          <w:sz w:val="20"/>
        </w:rPr>
        <w:t xml:space="preserve">, H. L., </w:t>
      </w:r>
      <w:proofErr w:type="spellStart"/>
      <w:r w:rsidR="004C52D0" w:rsidRPr="004C52D0">
        <w:rPr>
          <w:rFonts w:ascii="Calibri" w:hAnsi="Calibri" w:cs="Arial"/>
          <w:spacing w:val="2"/>
          <w:sz w:val="20"/>
        </w:rPr>
        <w:t>Nitschke</w:t>
      </w:r>
      <w:proofErr w:type="spellEnd"/>
      <w:r w:rsidR="004C52D0" w:rsidRPr="004C52D0">
        <w:rPr>
          <w:rFonts w:ascii="Calibri" w:hAnsi="Calibri" w:cs="Arial"/>
          <w:spacing w:val="2"/>
          <w:sz w:val="20"/>
        </w:rPr>
        <w:t xml:space="preserve">, J. B., Dolski, I., Jackson, D. C., Dalton, K. M., Mueller, C. J., . . . Davidson, R. J. (2004). Making a life worth living: Neural correlates of well-being. </w:t>
      </w:r>
      <w:r w:rsidR="004C52D0" w:rsidRPr="004C52D0">
        <w:rPr>
          <w:rFonts w:ascii="Calibri" w:hAnsi="Calibri" w:cs="Arial"/>
          <w:i/>
          <w:iCs/>
          <w:spacing w:val="2"/>
          <w:sz w:val="20"/>
        </w:rPr>
        <w:t>Psychological Science, 15</w:t>
      </w:r>
      <w:r w:rsidR="004C52D0" w:rsidRPr="004C52D0">
        <w:rPr>
          <w:rFonts w:ascii="Calibri" w:hAnsi="Calibri" w:cs="Arial"/>
          <w:spacing w:val="2"/>
          <w:sz w:val="20"/>
        </w:rPr>
        <w:t>, 367-372.</w:t>
      </w:r>
    </w:p>
    <w:p w14:paraId="1FD2BDA1" w14:textId="77777777" w:rsidR="00171034" w:rsidRDefault="006C4D2C" w:rsidP="004C52D0">
      <w:pPr>
        <w:pStyle w:val="FootnoteText"/>
        <w:spacing w:line="252" w:lineRule="auto"/>
        <w:ind w:left="360" w:hanging="180"/>
        <w:rPr>
          <w:rFonts w:asciiTheme="majorHAnsi" w:hAnsiTheme="majorHAnsi"/>
        </w:rPr>
      </w:pPr>
      <w:r w:rsidRPr="006C4D2C">
        <w:rPr>
          <w:rFonts w:asciiTheme="majorHAnsi" w:hAnsiTheme="majorHAnsi"/>
        </w:rPr>
        <w:t xml:space="preserve">David Yeager, Henderson, M., Paunesku, D., Walton, G., Spitzer, B., D’Mello, S., &amp; Angela Duckworth. (2014). Boring but important: A self-transcendent purpose for learning fosters academic self-regulation. </w:t>
      </w:r>
      <w:r w:rsidRPr="006C4D2C">
        <w:rPr>
          <w:rFonts w:asciiTheme="majorHAnsi" w:hAnsiTheme="majorHAnsi"/>
          <w:i/>
          <w:iCs/>
        </w:rPr>
        <w:t>Journal of Personality and Social Psychology, 107</w:t>
      </w:r>
      <w:r w:rsidRPr="006C4D2C">
        <w:rPr>
          <w:rFonts w:asciiTheme="majorHAnsi" w:hAnsiTheme="majorHAnsi"/>
        </w:rPr>
        <w:t>, 559-580.</w:t>
      </w:r>
    </w:p>
    <w:p w14:paraId="72C19DDB" w14:textId="77777777" w:rsidR="001A2510" w:rsidRPr="001A2510" w:rsidRDefault="001A2510" w:rsidP="004C52D0">
      <w:pPr>
        <w:pStyle w:val="FootnoteText"/>
        <w:spacing w:line="252" w:lineRule="auto"/>
        <w:ind w:left="360" w:hanging="180"/>
        <w:rPr>
          <w:rFonts w:asciiTheme="majorHAnsi" w:hAnsiTheme="majorHAnsi"/>
          <w:sz w:val="14"/>
          <w:szCs w:val="14"/>
          <w:lang w:val="en-CA"/>
        </w:rPr>
      </w:pPr>
    </w:p>
  </w:footnote>
  <w:footnote w:id="5">
    <w:p w14:paraId="08D1C8A2" w14:textId="77777777" w:rsidR="00171034" w:rsidRDefault="00171034" w:rsidP="001A2510">
      <w:pPr>
        <w:pStyle w:val="FootnoteText"/>
        <w:spacing w:line="252" w:lineRule="auto"/>
        <w:ind w:left="450" w:hanging="450"/>
        <w:rPr>
          <w:rFonts w:asciiTheme="majorHAnsi" w:hAnsiTheme="majorHAnsi"/>
        </w:rPr>
      </w:pPr>
      <w:r>
        <w:rPr>
          <w:rStyle w:val="FootnoteReference"/>
        </w:rPr>
        <w:footnoteRef/>
      </w:r>
      <w:r>
        <w:t xml:space="preserve"> </w:t>
      </w:r>
      <w:r w:rsidR="007B6125">
        <w:t xml:space="preserve"> </w:t>
      </w:r>
      <w:r w:rsidR="001A2510" w:rsidRPr="001A2510">
        <w:rPr>
          <w:rFonts w:asciiTheme="majorHAnsi" w:hAnsiTheme="majorHAnsi"/>
        </w:rPr>
        <w:t>Cacioppo, J., &amp; Patrick, W. (2008).</w:t>
      </w:r>
      <w:r w:rsidR="001A2510" w:rsidRPr="00A55C22">
        <w:rPr>
          <w:rFonts w:asciiTheme="majorHAnsi" w:hAnsiTheme="majorHAnsi"/>
          <w:i/>
          <w:iCs/>
        </w:rPr>
        <w:t xml:space="preserve"> Loneliness: Human nature and the need for social connection</w:t>
      </w:r>
      <w:r w:rsidR="001A2510" w:rsidRPr="001A2510">
        <w:rPr>
          <w:rFonts w:asciiTheme="majorHAnsi" w:hAnsiTheme="majorHAnsi"/>
        </w:rPr>
        <w:t>. New York, NY: W. W. Norton &amp; Co., Inc.</w:t>
      </w:r>
    </w:p>
    <w:p w14:paraId="730A9BE1" w14:textId="77777777" w:rsidR="007B6125" w:rsidRPr="007B6125" w:rsidRDefault="007B6125" w:rsidP="007B6125">
      <w:pPr>
        <w:pStyle w:val="FootnoteText"/>
        <w:spacing w:line="252" w:lineRule="auto"/>
        <w:ind w:left="450" w:hanging="270"/>
        <w:rPr>
          <w:rFonts w:asciiTheme="majorHAnsi" w:hAnsiTheme="majorHAnsi"/>
          <w:lang w:val="en-CA"/>
        </w:rPr>
      </w:pPr>
      <w:r w:rsidRPr="007B6125">
        <w:rPr>
          <w:rFonts w:asciiTheme="majorHAnsi" w:hAnsiTheme="majorHAnsi"/>
          <w:lang w:val="en-CA"/>
        </w:rPr>
        <w:t>Baumeister, R. F., DeWall, C. N., Ciarocco, N. J., &amp; Twenge, J. M. (2005). Social exclusion impairs self-regulation.</w:t>
      </w:r>
      <w:r w:rsidRPr="00A55C22">
        <w:rPr>
          <w:rFonts w:asciiTheme="majorHAnsi" w:hAnsiTheme="majorHAnsi"/>
          <w:i/>
          <w:iCs/>
          <w:lang w:val="en-CA"/>
        </w:rPr>
        <w:t xml:space="preserve"> Journal of Personality and Social Psychology, 88</w:t>
      </w:r>
      <w:r w:rsidRPr="007B6125">
        <w:rPr>
          <w:rFonts w:asciiTheme="majorHAnsi" w:hAnsiTheme="majorHAnsi"/>
          <w:lang w:val="en-CA"/>
        </w:rPr>
        <w:t xml:space="preserve">, 589-604. </w:t>
      </w:r>
    </w:p>
    <w:p w14:paraId="790B0D4E" w14:textId="77777777" w:rsidR="007B6125" w:rsidRDefault="007B6125" w:rsidP="00A55C22">
      <w:pPr>
        <w:pStyle w:val="FootnoteText"/>
        <w:spacing w:line="252" w:lineRule="auto"/>
        <w:ind w:left="450" w:hanging="270"/>
        <w:rPr>
          <w:rFonts w:asciiTheme="majorHAnsi" w:hAnsiTheme="majorHAnsi"/>
          <w:lang w:val="en-CA"/>
        </w:rPr>
      </w:pPr>
      <w:r w:rsidRPr="007B6125">
        <w:rPr>
          <w:rFonts w:asciiTheme="majorHAnsi" w:hAnsiTheme="majorHAnsi"/>
          <w:lang w:val="en-CA"/>
        </w:rPr>
        <w:t xml:space="preserve">Baumeister, R. F., Twenge, J. M., &amp; Nuss, C. K. (2002). Effects of social exclusion on cognitive processes: Anticipated aloneness reduces intelligent thought. </w:t>
      </w:r>
      <w:r w:rsidRPr="00A55C22">
        <w:rPr>
          <w:rFonts w:asciiTheme="majorHAnsi" w:hAnsiTheme="majorHAnsi"/>
          <w:i/>
          <w:iCs/>
          <w:lang w:val="en-CA"/>
        </w:rPr>
        <w:t>Journal of Personality and Social Psychology, 83</w:t>
      </w:r>
      <w:r w:rsidRPr="007B6125">
        <w:rPr>
          <w:rFonts w:asciiTheme="majorHAnsi" w:hAnsiTheme="majorHAnsi"/>
          <w:lang w:val="en-CA"/>
        </w:rPr>
        <w:t xml:space="preserve">, 817-827. </w:t>
      </w:r>
    </w:p>
    <w:p w14:paraId="380A723B" w14:textId="77777777" w:rsidR="00540C47" w:rsidRPr="00540C47" w:rsidRDefault="00540C47" w:rsidP="00A55C22">
      <w:pPr>
        <w:pStyle w:val="FootnoteText"/>
        <w:spacing w:line="252" w:lineRule="auto"/>
        <w:ind w:left="450" w:hanging="270"/>
        <w:rPr>
          <w:sz w:val="14"/>
          <w:szCs w:val="14"/>
          <w:lang w:val="en-CA"/>
        </w:rPr>
      </w:pPr>
    </w:p>
  </w:footnote>
  <w:footnote w:id="6">
    <w:p w14:paraId="03CD15E2" w14:textId="77777777" w:rsidR="00540C47" w:rsidRPr="00540C47" w:rsidRDefault="00540C47" w:rsidP="00540C47">
      <w:pPr>
        <w:pStyle w:val="FootnoteText"/>
        <w:spacing w:line="252" w:lineRule="auto"/>
        <w:ind w:left="450" w:hanging="450"/>
        <w:rPr>
          <w:rFonts w:asciiTheme="majorHAnsi" w:hAnsiTheme="majorHAnsi"/>
          <w:lang w:val="en-CA"/>
        </w:rPr>
      </w:pPr>
      <w:r>
        <w:rPr>
          <w:rStyle w:val="FootnoteReference"/>
        </w:rPr>
        <w:footnoteRef/>
      </w:r>
      <w:r>
        <w:t xml:space="preserve">  </w:t>
      </w:r>
      <w:r w:rsidRPr="00540C47">
        <w:rPr>
          <w:rFonts w:asciiTheme="majorHAnsi" w:hAnsiTheme="majorHAnsi"/>
        </w:rPr>
        <w:t xml:space="preserve">Hall, T., &amp; </w:t>
      </w:r>
      <w:proofErr w:type="spellStart"/>
      <w:r w:rsidRPr="00540C47">
        <w:rPr>
          <w:rFonts w:asciiTheme="majorHAnsi" w:hAnsiTheme="majorHAnsi"/>
        </w:rPr>
        <w:t>Stegila</w:t>
      </w:r>
      <w:proofErr w:type="spellEnd"/>
      <w:r w:rsidRPr="00540C47">
        <w:rPr>
          <w:rFonts w:asciiTheme="majorHAnsi" w:hAnsiTheme="majorHAnsi"/>
        </w:rPr>
        <w:t xml:space="preserve">, A. (2003). Peer-mediated instruction and intervention. </w:t>
      </w:r>
      <w:r w:rsidRPr="00540C47">
        <w:rPr>
          <w:rFonts w:asciiTheme="majorHAnsi" w:hAnsiTheme="majorHAnsi"/>
          <w:i/>
          <w:iCs/>
        </w:rPr>
        <w:t>NCAC Classroom Practices,</w:t>
      </w:r>
      <w:r w:rsidRPr="00540C47">
        <w:rPr>
          <w:rFonts w:asciiTheme="majorHAnsi" w:hAnsiTheme="majorHAnsi"/>
        </w:rPr>
        <w:t xml:space="preserve"> 1-18.    (This is online.)</w:t>
      </w:r>
    </w:p>
  </w:footnote>
  <w:footnote w:id="7">
    <w:p w14:paraId="6DCD2769" w14:textId="77777777" w:rsidR="00555EEB" w:rsidRDefault="00555EEB" w:rsidP="00555EEB">
      <w:pPr>
        <w:pStyle w:val="FootnoteText"/>
        <w:ind w:left="360" w:hanging="360"/>
        <w:rPr>
          <w:rFonts w:asciiTheme="majorHAnsi" w:hAnsiTheme="majorHAnsi"/>
        </w:rPr>
      </w:pPr>
      <w:r>
        <w:rPr>
          <w:rStyle w:val="FootnoteReference"/>
        </w:rPr>
        <w:footnoteRef/>
      </w:r>
      <w:r>
        <w:t xml:space="preserve"> </w:t>
      </w:r>
      <w:r w:rsidR="003B1193">
        <w:t xml:space="preserve"> </w:t>
      </w:r>
      <w:r w:rsidRPr="00555EEB">
        <w:rPr>
          <w:rFonts w:asciiTheme="majorHAnsi" w:hAnsiTheme="majorHAnsi"/>
        </w:rPr>
        <w:t xml:space="preserve">Diamond, A. (2000). Close interrelation of motor development and cognitive development and of the cerebellum and prefrontal cortex. </w:t>
      </w:r>
      <w:r w:rsidRPr="00555EEB">
        <w:rPr>
          <w:rFonts w:asciiTheme="majorHAnsi" w:hAnsiTheme="majorHAnsi"/>
          <w:i/>
          <w:iCs/>
        </w:rPr>
        <w:t>Child Development, 71</w:t>
      </w:r>
      <w:r w:rsidRPr="00555EEB">
        <w:rPr>
          <w:rFonts w:asciiTheme="majorHAnsi" w:hAnsiTheme="majorHAnsi"/>
        </w:rPr>
        <w:t xml:space="preserve">, 44-56. </w:t>
      </w:r>
    </w:p>
    <w:p w14:paraId="726DDCB4" w14:textId="77777777" w:rsidR="00555EEB" w:rsidRPr="00555EEB" w:rsidRDefault="00555EEB" w:rsidP="00555EEB">
      <w:pPr>
        <w:pStyle w:val="FootnoteText"/>
        <w:rPr>
          <w:sz w:val="14"/>
          <w:szCs w:val="14"/>
          <w:lang w:val="en-CA"/>
        </w:rPr>
      </w:pPr>
    </w:p>
  </w:footnote>
  <w:footnote w:id="8">
    <w:p w14:paraId="7BB8E571" w14:textId="77777777" w:rsidR="00555EEB" w:rsidRDefault="00555EEB" w:rsidP="00046781">
      <w:pPr>
        <w:pStyle w:val="FootnoteText"/>
        <w:ind w:left="360" w:hanging="360"/>
        <w:rPr>
          <w:rFonts w:asciiTheme="majorHAnsi" w:hAnsiTheme="majorHAnsi"/>
        </w:rPr>
      </w:pPr>
      <w:r>
        <w:rPr>
          <w:rStyle w:val="FootnoteReference"/>
        </w:rPr>
        <w:footnoteRef/>
      </w:r>
      <w:r>
        <w:t xml:space="preserve"> </w:t>
      </w:r>
      <w:r w:rsidR="003B1193">
        <w:t xml:space="preserve"> </w:t>
      </w:r>
      <w:proofErr w:type="spellStart"/>
      <w:r w:rsidRPr="00555EEB">
        <w:rPr>
          <w:rFonts w:asciiTheme="majorHAnsi" w:hAnsiTheme="majorHAnsi"/>
        </w:rPr>
        <w:t>Hanakawa</w:t>
      </w:r>
      <w:proofErr w:type="spellEnd"/>
      <w:r w:rsidRPr="00555EEB">
        <w:rPr>
          <w:rFonts w:asciiTheme="majorHAnsi" w:hAnsiTheme="majorHAnsi"/>
        </w:rPr>
        <w:t xml:space="preserve">, T., Honda, M., </w:t>
      </w:r>
      <w:proofErr w:type="spellStart"/>
      <w:r w:rsidRPr="00555EEB">
        <w:rPr>
          <w:rFonts w:asciiTheme="majorHAnsi" w:hAnsiTheme="majorHAnsi"/>
        </w:rPr>
        <w:t>Sawamoto</w:t>
      </w:r>
      <w:proofErr w:type="spellEnd"/>
      <w:r w:rsidRPr="00555EEB">
        <w:rPr>
          <w:rFonts w:asciiTheme="majorHAnsi" w:hAnsiTheme="majorHAnsi"/>
        </w:rPr>
        <w:t xml:space="preserve">, N., Okada, T., </w:t>
      </w:r>
      <w:proofErr w:type="spellStart"/>
      <w:r w:rsidRPr="00555EEB">
        <w:rPr>
          <w:rFonts w:asciiTheme="majorHAnsi" w:hAnsiTheme="majorHAnsi"/>
        </w:rPr>
        <w:t>Yonekura</w:t>
      </w:r>
      <w:proofErr w:type="spellEnd"/>
      <w:r w:rsidRPr="00555EEB">
        <w:rPr>
          <w:rFonts w:asciiTheme="majorHAnsi" w:hAnsiTheme="majorHAnsi"/>
        </w:rPr>
        <w:t xml:space="preserve">, Y., Fukuyama, H., &amp; </w:t>
      </w:r>
      <w:proofErr w:type="spellStart"/>
      <w:r w:rsidRPr="00555EEB">
        <w:rPr>
          <w:rFonts w:asciiTheme="majorHAnsi" w:hAnsiTheme="majorHAnsi"/>
        </w:rPr>
        <w:t>Shibasaki</w:t>
      </w:r>
      <w:proofErr w:type="spellEnd"/>
      <w:r w:rsidRPr="00555EEB">
        <w:rPr>
          <w:rFonts w:asciiTheme="majorHAnsi" w:hAnsiTheme="majorHAnsi"/>
        </w:rPr>
        <w:t xml:space="preserve">, H. (2002). The role of rostral Brodmann </w:t>
      </w:r>
      <w:r w:rsidR="00046781">
        <w:rPr>
          <w:rFonts w:asciiTheme="majorHAnsi" w:hAnsiTheme="majorHAnsi"/>
        </w:rPr>
        <w:t>A</w:t>
      </w:r>
      <w:r w:rsidRPr="00555EEB">
        <w:rPr>
          <w:rFonts w:asciiTheme="majorHAnsi" w:hAnsiTheme="majorHAnsi"/>
        </w:rPr>
        <w:t xml:space="preserve">rea 6 in mental-operation tasks: </w:t>
      </w:r>
      <w:r w:rsidR="00046781">
        <w:rPr>
          <w:rFonts w:asciiTheme="majorHAnsi" w:hAnsiTheme="majorHAnsi"/>
        </w:rPr>
        <w:t>A</w:t>
      </w:r>
      <w:r w:rsidRPr="00555EEB">
        <w:rPr>
          <w:rFonts w:asciiTheme="majorHAnsi" w:hAnsiTheme="majorHAnsi"/>
        </w:rPr>
        <w:t xml:space="preserve">n integrative neuroimaging approach. </w:t>
      </w:r>
      <w:r w:rsidRPr="00555EEB">
        <w:rPr>
          <w:rFonts w:asciiTheme="majorHAnsi" w:hAnsiTheme="majorHAnsi"/>
          <w:i/>
          <w:iCs/>
        </w:rPr>
        <w:t>Cerebral Cortex, 12,</w:t>
      </w:r>
      <w:r w:rsidRPr="00555EEB">
        <w:rPr>
          <w:rFonts w:asciiTheme="majorHAnsi" w:hAnsiTheme="majorHAnsi"/>
        </w:rPr>
        <w:t xml:space="preserve"> 1157-1170.</w:t>
      </w:r>
    </w:p>
    <w:p w14:paraId="7F470A38" w14:textId="77777777" w:rsidR="003B1193" w:rsidRPr="003B1193" w:rsidRDefault="003B1193" w:rsidP="00046781">
      <w:pPr>
        <w:pStyle w:val="FootnoteText"/>
        <w:ind w:left="360" w:hanging="360"/>
        <w:rPr>
          <w:sz w:val="14"/>
          <w:szCs w:val="14"/>
          <w:lang w:val="en-CA"/>
        </w:rPr>
      </w:pPr>
    </w:p>
  </w:footnote>
  <w:footnote w:id="9">
    <w:p w14:paraId="63601561" w14:textId="77777777" w:rsidR="00F2237E" w:rsidRDefault="00F2237E" w:rsidP="00F2237E">
      <w:pPr>
        <w:pStyle w:val="FootnoteText"/>
        <w:rPr>
          <w:rFonts w:asciiTheme="majorHAnsi" w:hAnsiTheme="majorHAnsi" w:cs="Segoe UI"/>
          <w:lang w:val="en-CA" w:bidi="he-IL"/>
        </w:rPr>
      </w:pPr>
      <w:r>
        <w:rPr>
          <w:rStyle w:val="FootnoteReference"/>
        </w:rPr>
        <w:footnoteRef/>
      </w:r>
      <w:r>
        <w:t xml:space="preserve"> </w:t>
      </w:r>
      <w:r w:rsidR="00051045">
        <w:t xml:space="preserve"> </w:t>
      </w:r>
      <w:r w:rsidRPr="003B1193">
        <w:rPr>
          <w:rFonts w:asciiTheme="majorHAnsi" w:hAnsiTheme="majorHAnsi" w:cs="Segoe UI"/>
          <w:lang w:val="en-CA" w:bidi="he-IL"/>
        </w:rPr>
        <w:t xml:space="preserve">Diamond, A. (2007). Interrelated and interdependent. </w:t>
      </w:r>
      <w:r w:rsidRPr="003B1193">
        <w:rPr>
          <w:rFonts w:asciiTheme="majorHAnsi" w:hAnsiTheme="majorHAnsi" w:cs="Segoe UI"/>
          <w:i/>
          <w:iCs/>
          <w:lang w:val="en-CA" w:bidi="he-IL"/>
        </w:rPr>
        <w:t>Developmental Science, 10</w:t>
      </w:r>
      <w:r w:rsidRPr="003B1193">
        <w:rPr>
          <w:rFonts w:asciiTheme="majorHAnsi" w:hAnsiTheme="majorHAnsi" w:cs="Segoe UI"/>
          <w:lang w:val="en-CA" w:bidi="he-IL"/>
        </w:rPr>
        <w:t>, 152-158.</w:t>
      </w:r>
    </w:p>
    <w:p w14:paraId="782120FF" w14:textId="77777777" w:rsidR="00321096" w:rsidRPr="00321096" w:rsidRDefault="00321096" w:rsidP="00F2237E">
      <w:pPr>
        <w:pStyle w:val="FootnoteText"/>
        <w:rPr>
          <w:sz w:val="14"/>
          <w:szCs w:val="14"/>
          <w:lang w:val="en-CA"/>
        </w:rPr>
      </w:pPr>
    </w:p>
  </w:footnote>
  <w:footnote w:id="10">
    <w:p w14:paraId="29FBD305" w14:textId="77777777" w:rsidR="00EE62D5" w:rsidRPr="00EE62D5" w:rsidRDefault="00F2237E" w:rsidP="00EE62D5">
      <w:pPr>
        <w:spacing w:line="252" w:lineRule="auto"/>
        <w:ind w:left="360" w:hanging="360"/>
        <w:rPr>
          <w:rFonts w:ascii="Calibri" w:eastAsia="Times New Roman" w:hAnsi="Calibri" w:cs="Times New Roman"/>
          <w:sz w:val="20"/>
          <w:lang w:val="en-CA"/>
        </w:rPr>
      </w:pPr>
      <w:r>
        <w:rPr>
          <w:rStyle w:val="FootnoteReference"/>
        </w:rPr>
        <w:footnoteRef/>
      </w:r>
      <w:r>
        <w:t xml:space="preserve"> </w:t>
      </w:r>
      <w:r w:rsidR="00EE62D5" w:rsidRPr="00EE62D5">
        <w:rPr>
          <w:rFonts w:ascii="Calibri" w:eastAsia="Times New Roman" w:hAnsi="Calibri" w:cs="Times New Roman"/>
          <w:sz w:val="20"/>
          <w:lang w:val="en-CA"/>
        </w:rPr>
        <w:t xml:space="preserve">Benner, A. D. (2011). Latino adolescents’ loneliness, academic performance, and the buffering nature of friendships. </w:t>
      </w:r>
      <w:r w:rsidR="00321096">
        <w:rPr>
          <w:rFonts w:ascii="Calibri" w:eastAsia="Times New Roman" w:hAnsi="Calibri" w:cs="Times New Roman"/>
          <w:sz w:val="20"/>
          <w:lang w:val="en-CA"/>
        </w:rPr>
        <w:t xml:space="preserve"> </w:t>
      </w:r>
      <w:r w:rsidR="00EE62D5" w:rsidRPr="00EE62D5">
        <w:rPr>
          <w:rFonts w:ascii="Calibri" w:eastAsia="Times New Roman" w:hAnsi="Calibri" w:cs="Times New Roman"/>
          <w:i/>
          <w:iCs/>
          <w:sz w:val="20"/>
          <w:lang w:val="en-CA"/>
        </w:rPr>
        <w:t>Journal of Youth and Adolescence</w:t>
      </w:r>
      <w:r w:rsidR="00EE62D5" w:rsidRPr="00EE62D5">
        <w:rPr>
          <w:rFonts w:ascii="Calibri" w:eastAsia="Times New Roman" w:hAnsi="Calibri" w:cs="Times New Roman"/>
          <w:sz w:val="20"/>
          <w:lang w:val="en-CA"/>
        </w:rPr>
        <w:t xml:space="preserve">, </w:t>
      </w:r>
      <w:r w:rsidR="00EE62D5" w:rsidRPr="00EE62D5">
        <w:rPr>
          <w:rFonts w:ascii="Calibri" w:eastAsia="Times New Roman" w:hAnsi="Calibri" w:cs="Times New Roman"/>
          <w:i/>
          <w:iCs/>
          <w:sz w:val="20"/>
          <w:lang w:val="en-CA"/>
        </w:rPr>
        <w:t>40</w:t>
      </w:r>
      <w:r w:rsidR="00EE62D5" w:rsidRPr="00EE62D5">
        <w:rPr>
          <w:rFonts w:ascii="Calibri" w:eastAsia="Times New Roman" w:hAnsi="Calibri" w:cs="Times New Roman"/>
          <w:sz w:val="20"/>
          <w:lang w:val="en-CA"/>
        </w:rPr>
        <w:t xml:space="preserve">(5), 556–567. </w:t>
      </w:r>
    </w:p>
    <w:p w14:paraId="3CDB2E60" w14:textId="77777777" w:rsidR="00EE62D5" w:rsidRPr="00EE62D5" w:rsidRDefault="00EE62D5" w:rsidP="00EE62D5">
      <w:pPr>
        <w:spacing w:line="252" w:lineRule="auto"/>
        <w:ind w:left="360" w:hanging="180"/>
        <w:rPr>
          <w:rFonts w:ascii="Calibri" w:eastAsia="Times New Roman" w:hAnsi="Calibri" w:cs="Arial"/>
          <w:spacing w:val="2"/>
          <w:sz w:val="20"/>
          <w:lang w:val="en-CA"/>
        </w:rPr>
      </w:pPr>
      <w:proofErr w:type="spellStart"/>
      <w:r w:rsidRPr="00EE62D5">
        <w:rPr>
          <w:rFonts w:ascii="Calibri" w:eastAsia="Times New Roman" w:hAnsi="Calibri" w:cs="Times New Roman"/>
          <w:sz w:val="20"/>
          <w:lang w:val="en-CA"/>
        </w:rPr>
        <w:t>Flueckiger</w:t>
      </w:r>
      <w:proofErr w:type="spellEnd"/>
      <w:r w:rsidRPr="00EE62D5">
        <w:rPr>
          <w:rFonts w:ascii="Calibri" w:eastAsia="Times New Roman" w:hAnsi="Calibri" w:cs="Times New Roman"/>
          <w:sz w:val="20"/>
          <w:lang w:val="en-CA"/>
        </w:rPr>
        <w:t xml:space="preserve">, L., </w:t>
      </w:r>
      <w:proofErr w:type="spellStart"/>
      <w:r w:rsidRPr="00EE62D5">
        <w:rPr>
          <w:rFonts w:ascii="Calibri" w:eastAsia="Times New Roman" w:hAnsi="Calibri" w:cs="Times New Roman"/>
          <w:sz w:val="20"/>
          <w:lang w:val="en-CA"/>
        </w:rPr>
        <w:t>Lieb</w:t>
      </w:r>
      <w:proofErr w:type="spellEnd"/>
      <w:r w:rsidRPr="00EE62D5">
        <w:rPr>
          <w:rFonts w:ascii="Calibri" w:eastAsia="Times New Roman" w:hAnsi="Calibri" w:cs="Times New Roman"/>
          <w:sz w:val="20"/>
          <w:lang w:val="en-CA"/>
        </w:rPr>
        <w:t xml:space="preserve">, R., Meyer, A. H., &amp; Mata, J. (2014). How health behaviors relate to academic performance via affect: An intensive longitudinal study. </w:t>
      </w:r>
      <w:r w:rsidRPr="00EE62D5">
        <w:rPr>
          <w:rFonts w:ascii="Calibri" w:eastAsia="Times New Roman" w:hAnsi="Calibri" w:cs="Times New Roman"/>
          <w:i/>
          <w:iCs/>
          <w:sz w:val="20"/>
          <w:lang w:val="en-CA"/>
        </w:rPr>
        <w:t>PLoS ONE</w:t>
      </w:r>
      <w:r w:rsidRPr="00EE62D5">
        <w:rPr>
          <w:rFonts w:ascii="Calibri" w:eastAsia="Times New Roman" w:hAnsi="Calibri" w:cs="Times New Roman"/>
          <w:sz w:val="20"/>
          <w:lang w:val="en-CA"/>
        </w:rPr>
        <w:t xml:space="preserve">, </w:t>
      </w:r>
      <w:r w:rsidRPr="00EE62D5">
        <w:rPr>
          <w:rFonts w:ascii="Calibri" w:eastAsia="Times New Roman" w:hAnsi="Calibri" w:cs="Times New Roman"/>
          <w:i/>
          <w:iCs/>
          <w:sz w:val="20"/>
          <w:lang w:val="en-CA"/>
        </w:rPr>
        <w:t>9</w:t>
      </w:r>
      <w:r w:rsidRPr="00EE62D5">
        <w:rPr>
          <w:rFonts w:ascii="Calibri" w:eastAsia="Times New Roman" w:hAnsi="Calibri" w:cs="Times New Roman"/>
          <w:sz w:val="20"/>
          <w:lang w:val="en-CA"/>
        </w:rPr>
        <w:t>(10), e111080. http://doi.org/10.1371/journal.pone.0111080</w:t>
      </w:r>
    </w:p>
    <w:p w14:paraId="3F8EDE42" w14:textId="77777777" w:rsidR="00EE62D5" w:rsidRPr="00EE62D5" w:rsidRDefault="00EE62D5" w:rsidP="00EE62D5">
      <w:pPr>
        <w:spacing w:line="252" w:lineRule="auto"/>
        <w:ind w:left="360" w:hanging="180"/>
        <w:rPr>
          <w:rFonts w:ascii="Calibri" w:eastAsia="Times New Roman" w:hAnsi="Calibri" w:cs="Segoe UI"/>
          <w:sz w:val="20"/>
          <w:lang w:val="en-CA" w:eastAsia="en-CA" w:bidi="he-IL"/>
        </w:rPr>
      </w:pPr>
      <w:r w:rsidRPr="00EE62D5">
        <w:rPr>
          <w:rFonts w:ascii="Calibri" w:eastAsia="Times New Roman" w:hAnsi="Calibri" w:cs="Segoe UI"/>
          <w:sz w:val="20"/>
          <w:lang w:val="en-CA" w:eastAsia="en-CA" w:bidi="he-IL"/>
        </w:rPr>
        <w:t xml:space="preserve">Martin, K. (2010). </w:t>
      </w:r>
      <w:r w:rsidRPr="00EE62D5">
        <w:rPr>
          <w:rFonts w:ascii="Calibri" w:eastAsia="Times New Roman" w:hAnsi="Calibri" w:cs="Segoe UI"/>
          <w:i/>
          <w:iCs/>
          <w:sz w:val="20"/>
          <w:lang w:val="en-CA" w:eastAsia="en-CA" w:bidi="he-IL"/>
        </w:rPr>
        <w:t>Brain boost: Sport and physical activity enhance children's learning</w:t>
      </w:r>
      <w:r w:rsidRPr="00EE62D5">
        <w:rPr>
          <w:rFonts w:ascii="Calibri" w:eastAsia="Times New Roman" w:hAnsi="Calibri" w:cs="Segoe UI"/>
          <w:sz w:val="20"/>
          <w:lang w:val="en-CA" w:eastAsia="en-CA" w:bidi="he-IL"/>
        </w:rPr>
        <w:t xml:space="preserve">. </w:t>
      </w:r>
      <w:proofErr w:type="spellStart"/>
      <w:r w:rsidRPr="00EE62D5">
        <w:rPr>
          <w:rFonts w:ascii="Calibri" w:eastAsia="Times New Roman" w:hAnsi="Calibri" w:cs="Segoe UI"/>
          <w:sz w:val="20"/>
          <w:lang w:val="en-CA" w:eastAsia="en-CA" w:bidi="he-IL"/>
        </w:rPr>
        <w:t>Leederville</w:t>
      </w:r>
      <w:proofErr w:type="spellEnd"/>
      <w:r w:rsidRPr="00EE62D5">
        <w:rPr>
          <w:rFonts w:ascii="Calibri" w:eastAsia="Times New Roman" w:hAnsi="Calibri" w:cs="Segoe UI"/>
          <w:sz w:val="20"/>
          <w:lang w:val="en-CA" w:eastAsia="en-CA" w:bidi="he-IL"/>
        </w:rPr>
        <w:t>: Government of Western Australia: Department of Sport and Recreation.</w:t>
      </w:r>
      <w:r w:rsidR="00321096">
        <w:rPr>
          <w:rFonts w:ascii="Calibri" w:eastAsia="Times New Roman" w:hAnsi="Calibri" w:cs="Segoe UI"/>
          <w:sz w:val="20"/>
          <w:lang w:val="en-CA" w:eastAsia="en-CA" w:bidi="he-IL"/>
        </w:rPr>
        <w:t xml:space="preserve">   </w:t>
      </w:r>
      <w:r w:rsidR="00321096" w:rsidRPr="00321096">
        <w:rPr>
          <w:rFonts w:ascii="Calibri" w:eastAsia="Times New Roman" w:hAnsi="Calibri" w:cs="Segoe UI"/>
          <w:sz w:val="20"/>
          <w:lang w:val="en-CA" w:eastAsia="en-CA" w:bidi="he-IL"/>
        </w:rPr>
        <w:t>(This is online.)</w:t>
      </w:r>
    </w:p>
    <w:p w14:paraId="66F16B75" w14:textId="77777777" w:rsidR="00EE62D5" w:rsidRPr="00EE62D5" w:rsidRDefault="00EE62D5" w:rsidP="00EE62D5">
      <w:pPr>
        <w:spacing w:line="252" w:lineRule="auto"/>
        <w:ind w:left="360" w:hanging="180"/>
        <w:rPr>
          <w:rFonts w:ascii="Calibri" w:eastAsia="Times New Roman" w:hAnsi="Calibri" w:cs="Segoe UI"/>
          <w:sz w:val="20"/>
          <w:lang w:val="en-CA" w:eastAsia="en-CA" w:bidi="he-IL"/>
        </w:rPr>
      </w:pPr>
      <w:r w:rsidRPr="00EE62D5">
        <w:rPr>
          <w:rFonts w:ascii="Calibri" w:eastAsia="Times New Roman" w:hAnsi="Calibri" w:cs="Segoe UI"/>
          <w:sz w:val="20"/>
          <w:lang w:val="en-CA" w:eastAsia="en-CA" w:bidi="he-IL"/>
        </w:rPr>
        <w:t xml:space="preserve">Singh, A., Uijtdewilligen, L., </w:t>
      </w:r>
      <w:proofErr w:type="spellStart"/>
      <w:r w:rsidRPr="00EE62D5">
        <w:rPr>
          <w:rFonts w:ascii="Calibri" w:eastAsia="Times New Roman" w:hAnsi="Calibri" w:cs="Segoe UI"/>
          <w:sz w:val="20"/>
          <w:lang w:val="en-CA" w:eastAsia="en-CA" w:bidi="he-IL"/>
        </w:rPr>
        <w:t>Twisk</w:t>
      </w:r>
      <w:proofErr w:type="spellEnd"/>
      <w:r w:rsidRPr="00EE62D5">
        <w:rPr>
          <w:rFonts w:ascii="Calibri" w:eastAsia="Times New Roman" w:hAnsi="Calibri" w:cs="Segoe UI"/>
          <w:sz w:val="20"/>
          <w:lang w:val="en-CA" w:eastAsia="en-CA" w:bidi="he-IL"/>
        </w:rPr>
        <w:t xml:space="preserve">, J. W. R., van </w:t>
      </w:r>
      <w:proofErr w:type="spellStart"/>
      <w:r w:rsidRPr="00EE62D5">
        <w:rPr>
          <w:rFonts w:ascii="Calibri" w:eastAsia="Times New Roman" w:hAnsi="Calibri" w:cs="Segoe UI"/>
          <w:sz w:val="20"/>
          <w:lang w:val="en-CA" w:eastAsia="en-CA" w:bidi="he-IL"/>
        </w:rPr>
        <w:t>Mechelen</w:t>
      </w:r>
      <w:proofErr w:type="spellEnd"/>
      <w:r w:rsidRPr="00EE62D5">
        <w:rPr>
          <w:rFonts w:ascii="Calibri" w:eastAsia="Times New Roman" w:hAnsi="Calibri" w:cs="Segoe UI"/>
          <w:sz w:val="20"/>
          <w:lang w:val="en-CA" w:eastAsia="en-CA" w:bidi="he-IL"/>
        </w:rPr>
        <w:t xml:space="preserve">, W., &amp; Chinapaw, M. J. M. (2012). Physical activity and performance at school: A systematic review of the literature including a methodological quality assessment. </w:t>
      </w:r>
      <w:r w:rsidRPr="00EE62D5">
        <w:rPr>
          <w:rFonts w:ascii="Calibri" w:eastAsia="Times New Roman" w:hAnsi="Calibri" w:cs="Segoe UI"/>
          <w:i/>
          <w:iCs/>
          <w:sz w:val="20"/>
          <w:lang w:val="en-CA" w:eastAsia="en-CA" w:bidi="he-IL"/>
        </w:rPr>
        <w:t>Archives of Pediatrics &amp; Adolescent Medicine, 166</w:t>
      </w:r>
      <w:r w:rsidRPr="00EE62D5">
        <w:rPr>
          <w:rFonts w:ascii="Calibri" w:eastAsia="Times New Roman" w:hAnsi="Calibri" w:cs="Segoe UI"/>
          <w:sz w:val="20"/>
          <w:lang w:val="en-CA" w:eastAsia="en-CA" w:bidi="he-IL"/>
        </w:rPr>
        <w:t>(1), 49-55.</w:t>
      </w:r>
    </w:p>
    <w:p w14:paraId="56B44D68" w14:textId="77777777" w:rsidR="00F2237E" w:rsidRPr="00630285" w:rsidRDefault="00F2237E">
      <w:pPr>
        <w:pStyle w:val="FootnoteText"/>
        <w:rPr>
          <w:sz w:val="14"/>
          <w:szCs w:val="14"/>
          <w:lang w:val="en-CA"/>
        </w:rPr>
      </w:pPr>
    </w:p>
  </w:footnote>
  <w:footnote w:id="11">
    <w:p w14:paraId="5E0A69D1" w14:textId="77777777" w:rsidR="00630285" w:rsidRPr="00051045" w:rsidRDefault="00F2237E" w:rsidP="00051045">
      <w:pPr>
        <w:autoSpaceDE w:val="0"/>
        <w:autoSpaceDN w:val="0"/>
        <w:adjustRightInd w:val="0"/>
        <w:spacing w:line="252" w:lineRule="auto"/>
        <w:ind w:left="360" w:hanging="360"/>
        <w:rPr>
          <w:rFonts w:asciiTheme="majorHAnsi" w:hAnsiTheme="majorHAnsi" w:cs="Segoe UI"/>
          <w:sz w:val="20"/>
          <w:lang w:val="en-CA" w:bidi="he-IL"/>
        </w:rPr>
      </w:pPr>
      <w:r>
        <w:rPr>
          <w:rStyle w:val="FootnoteReference"/>
        </w:rPr>
        <w:footnoteRef/>
      </w:r>
      <w:r>
        <w:t xml:space="preserve"> </w:t>
      </w:r>
      <w:r w:rsidR="00630285" w:rsidRPr="00051045">
        <w:rPr>
          <w:rFonts w:asciiTheme="majorHAnsi" w:hAnsiTheme="majorHAnsi" w:cs="Segoe UI"/>
          <w:sz w:val="20"/>
          <w:lang w:val="en-CA" w:bidi="he-IL"/>
        </w:rPr>
        <w:t xml:space="preserve">Diamond, A. (2010). The evidence base for improving school outcomes by addressing the whole child and by addressing skills and attitudes, not just content. </w:t>
      </w:r>
      <w:r w:rsidR="00630285" w:rsidRPr="00051045">
        <w:rPr>
          <w:rFonts w:asciiTheme="majorHAnsi" w:hAnsiTheme="majorHAnsi" w:cs="Segoe UI"/>
          <w:i/>
          <w:iCs/>
          <w:sz w:val="20"/>
          <w:lang w:val="en-CA" w:bidi="he-IL"/>
        </w:rPr>
        <w:t>Early Education and Development, 21</w:t>
      </w:r>
      <w:r w:rsidR="00630285" w:rsidRPr="00051045">
        <w:rPr>
          <w:rFonts w:asciiTheme="majorHAnsi" w:hAnsiTheme="majorHAnsi" w:cs="Segoe UI"/>
          <w:sz w:val="20"/>
          <w:lang w:val="en-CA" w:bidi="he-IL"/>
        </w:rPr>
        <w:t xml:space="preserve">, 780-793. </w:t>
      </w:r>
    </w:p>
    <w:p w14:paraId="508A6B5D" w14:textId="77777777" w:rsidR="00F2237E" w:rsidRPr="00051045" w:rsidRDefault="00630285" w:rsidP="00051045">
      <w:pPr>
        <w:pStyle w:val="FootnoteText"/>
        <w:spacing w:line="252" w:lineRule="auto"/>
        <w:ind w:left="360" w:hanging="180"/>
        <w:rPr>
          <w:rFonts w:asciiTheme="majorHAnsi" w:hAnsiTheme="majorHAnsi"/>
        </w:rPr>
      </w:pPr>
      <w:r w:rsidRPr="00051045">
        <w:rPr>
          <w:rFonts w:asciiTheme="majorHAnsi" w:hAnsiTheme="majorHAnsi"/>
        </w:rPr>
        <w:t xml:space="preserve">Diamond, A. (2014). Want to optimize executive functions and academic outcomes? Simple, just nourish the human spirit. </w:t>
      </w:r>
      <w:r w:rsidRPr="00051045">
        <w:rPr>
          <w:rFonts w:asciiTheme="majorHAnsi" w:hAnsiTheme="majorHAnsi"/>
          <w:i/>
          <w:iCs/>
        </w:rPr>
        <w:t>Minnesota Symposia on Child Psychology, 37</w:t>
      </w:r>
      <w:r w:rsidRPr="00051045">
        <w:rPr>
          <w:rFonts w:asciiTheme="majorHAnsi" w:hAnsiTheme="majorHAnsi"/>
        </w:rPr>
        <w:t xml:space="preserve">, 203-230. </w:t>
      </w:r>
    </w:p>
    <w:p w14:paraId="6945B2F6" w14:textId="77777777" w:rsidR="00630285" w:rsidRPr="00F2237E" w:rsidRDefault="00630285" w:rsidP="00051045">
      <w:pPr>
        <w:pStyle w:val="FootnoteText"/>
        <w:spacing w:line="252" w:lineRule="auto"/>
        <w:ind w:left="360" w:hanging="180"/>
        <w:rPr>
          <w:lang w:val="en-CA"/>
        </w:rPr>
      </w:pPr>
      <w:r w:rsidRPr="00051045">
        <w:rPr>
          <w:rFonts w:asciiTheme="majorHAnsi" w:hAnsiTheme="majorHAnsi"/>
        </w:rPr>
        <w:t xml:space="preserve">Diamond, A. (2015). Research that helps us move closer to a world where each child thrives. </w:t>
      </w:r>
      <w:r w:rsidRPr="00051045">
        <w:rPr>
          <w:rFonts w:asciiTheme="majorHAnsi" w:hAnsiTheme="majorHAnsi"/>
          <w:i/>
        </w:rPr>
        <w:t xml:space="preserve">Research in Human Development, 12, </w:t>
      </w:r>
      <w:r w:rsidRPr="00051045">
        <w:rPr>
          <w:rFonts w:asciiTheme="majorHAnsi" w:hAnsiTheme="majorHAnsi"/>
        </w:rPr>
        <w:t>288 – 294. (</w:t>
      </w:r>
      <w:r w:rsidR="00051045" w:rsidRPr="00051045">
        <w:rPr>
          <w:rFonts w:asciiTheme="majorHAnsi" w:hAnsiTheme="majorHAnsi"/>
        </w:rPr>
        <w:t>The “Just One Wish Issue”)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sDQ3NDcwMTIxtTRV0lEKTi0uzszPAykwrAUAGK3dcywAAAA="/>
  </w:docVars>
  <w:rsids>
    <w:rsidRoot w:val="00C2390C"/>
    <w:rsid w:val="00046781"/>
    <w:rsid w:val="00051045"/>
    <w:rsid w:val="000626B4"/>
    <w:rsid w:val="00171034"/>
    <w:rsid w:val="001A2510"/>
    <w:rsid w:val="001C4197"/>
    <w:rsid w:val="001E0779"/>
    <w:rsid w:val="00307A32"/>
    <w:rsid w:val="00321096"/>
    <w:rsid w:val="00372CBA"/>
    <w:rsid w:val="00380972"/>
    <w:rsid w:val="003B1193"/>
    <w:rsid w:val="00410EAC"/>
    <w:rsid w:val="004752D5"/>
    <w:rsid w:val="004C52D0"/>
    <w:rsid w:val="00540C47"/>
    <w:rsid w:val="0055006E"/>
    <w:rsid w:val="00555EEB"/>
    <w:rsid w:val="00556C5E"/>
    <w:rsid w:val="005C56F2"/>
    <w:rsid w:val="005E7DD1"/>
    <w:rsid w:val="005F4E69"/>
    <w:rsid w:val="00607A47"/>
    <w:rsid w:val="00630285"/>
    <w:rsid w:val="006C4D2C"/>
    <w:rsid w:val="00783E09"/>
    <w:rsid w:val="007B6125"/>
    <w:rsid w:val="007D57D5"/>
    <w:rsid w:val="008C2100"/>
    <w:rsid w:val="00930809"/>
    <w:rsid w:val="009B05D6"/>
    <w:rsid w:val="009B66E8"/>
    <w:rsid w:val="009D489D"/>
    <w:rsid w:val="00A060EF"/>
    <w:rsid w:val="00A15D64"/>
    <w:rsid w:val="00A55C22"/>
    <w:rsid w:val="00B942A7"/>
    <w:rsid w:val="00BB50C4"/>
    <w:rsid w:val="00C2390C"/>
    <w:rsid w:val="00C70AAB"/>
    <w:rsid w:val="00DF511D"/>
    <w:rsid w:val="00E8558B"/>
    <w:rsid w:val="00EE62D5"/>
    <w:rsid w:val="00F0105E"/>
    <w:rsid w:val="00F2237E"/>
    <w:rsid w:val="00F4407C"/>
    <w:rsid w:val="00F96C86"/>
  </w:rsids>
  <m:mathPr>
    <m:mathFont m:val="Cambria Math"/>
    <m:brkBin m:val="before"/>
    <m:brkBinSub m:val="--"/>
    <m:smallFrac/>
    <m:dispDef/>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349C2B6"/>
  <w15:docId w15:val="{18D4267A-1263-4F9B-B024-70C3D18E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BF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2390C"/>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E8558B"/>
    <w:rPr>
      <w:rFonts w:ascii="Tahoma" w:hAnsi="Tahoma" w:cs="Tahoma"/>
      <w:sz w:val="16"/>
      <w:szCs w:val="16"/>
    </w:rPr>
  </w:style>
  <w:style w:type="character" w:customStyle="1" w:styleId="BalloonTextChar">
    <w:name w:val="Balloon Text Char"/>
    <w:basedOn w:val="DefaultParagraphFont"/>
    <w:link w:val="BalloonText"/>
    <w:uiPriority w:val="99"/>
    <w:semiHidden/>
    <w:rsid w:val="00E8558B"/>
    <w:rPr>
      <w:rFonts w:ascii="Tahoma" w:hAnsi="Tahoma" w:cs="Tahoma"/>
      <w:sz w:val="16"/>
      <w:szCs w:val="16"/>
    </w:rPr>
  </w:style>
  <w:style w:type="paragraph" w:styleId="FootnoteText">
    <w:name w:val="footnote text"/>
    <w:basedOn w:val="Normal"/>
    <w:link w:val="FootnoteTextChar"/>
    <w:uiPriority w:val="99"/>
    <w:unhideWhenUsed/>
    <w:rsid w:val="005F4E69"/>
    <w:rPr>
      <w:sz w:val="20"/>
    </w:rPr>
  </w:style>
  <w:style w:type="character" w:customStyle="1" w:styleId="FootnoteTextChar">
    <w:name w:val="Footnote Text Char"/>
    <w:basedOn w:val="DefaultParagraphFont"/>
    <w:link w:val="FootnoteText"/>
    <w:uiPriority w:val="99"/>
    <w:rsid w:val="005F4E69"/>
  </w:style>
  <w:style w:type="character" w:styleId="FootnoteReference">
    <w:name w:val="footnote reference"/>
    <w:basedOn w:val="DefaultParagraphFont"/>
    <w:uiPriority w:val="99"/>
    <w:semiHidden/>
    <w:unhideWhenUsed/>
    <w:rsid w:val="005F4E69"/>
    <w:rPr>
      <w:vertAlign w:val="superscript"/>
    </w:rPr>
  </w:style>
  <w:style w:type="paragraph" w:styleId="ListParagraph">
    <w:name w:val="List Paragraph"/>
    <w:basedOn w:val="Normal"/>
    <w:uiPriority w:val="34"/>
    <w:qFormat/>
    <w:rsid w:val="008C2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27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dxtalks.ted.com/video/Turning-some-Ideas-on-their-He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F860-9B63-44F2-8791-4ECC82DB4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878</Words>
  <Characters>4842</Characters>
  <Application>Microsoft Office Word</Application>
  <DocSecurity>0</DocSecurity>
  <Lines>345</Lines>
  <Paragraphs>103</Paragraphs>
  <ScaleCrop>false</ScaleCrop>
  <HeadingPairs>
    <vt:vector size="2" baseType="variant">
      <vt:variant>
        <vt:lpstr>Title</vt:lpstr>
      </vt:variant>
      <vt:variant>
        <vt:i4>1</vt:i4>
      </vt:variant>
    </vt:vector>
  </HeadingPairs>
  <TitlesOfParts>
    <vt:vector size="1" baseType="lpstr">
      <vt:lpstr/>
    </vt:vector>
  </TitlesOfParts>
  <Company>Everyday Arts Inc.</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Adele Diamond</cp:lastModifiedBy>
  <cp:revision>3</cp:revision>
  <dcterms:created xsi:type="dcterms:W3CDTF">2021-02-24T03:09:00Z</dcterms:created>
  <dcterms:modified xsi:type="dcterms:W3CDTF">2025-05-10T00:12:00Z</dcterms:modified>
</cp:coreProperties>
</file>